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DAS/58/2026 vom 3. März 2026</w:t>
      </w:r>
    </w:p>
    <w:p>
      <w:r>
        <w:t>GE Cour de justice, 2026-03-03, FR</w:t>
      </w:r>
    </w:p>
    <w:p>
      <w:r>
        <w:rPr>
          <w:b/>
        </w:rPr>
        <w:t xml:space="preserve">Quelle: </w:t>
      </w:r>
      <w:r>
        <w:t>https://mcp.opencaselaw.ch/entscheid/ge_gerichte_DAS_58_2026</w:t>
      </w:r>
    </w:p>
    <w:p>
      <w:r>
        <w:t>FR: GE_GERICHTE DAS/58/2026 du 3 mars 2026</w:t>
      </w:r>
    </w:p>
    <w:p>
      <w:r>
        <w:t>IT: GE_GERICHTE DAS/58/2026 del 3 marzo 2026</w:t>
      </w:r>
    </w:p>
    <w:p>
      <w:pPr>
        <w:pStyle w:val="Heading2"/>
      </w:pPr>
      <w:r>
        <w:t>Erwägungen</w:t>
      </w:r>
    </w:p>
    <w:p>
      <w:r>
        <w:rPr>
          <w:b/>
        </w:rPr>
        <w:t>E. 1.1</w:t>
      </w:r>
    </w:p>
    <w:p>
      <w:r>
        <w:t>Les décisions du Registre du commerce peuvent faire l'objet d'un recours auprès du tribunal supérieur cantonal comme unique instance de recours qui, dans le canton de Genève, est la Chambre de surveillance de la Cour de justice (art. 942 al. 2 CO; art. 126 al. 1 let. d LOJ). La Loi genevoise de procédure administrative (LPA) s'applique à la prise de décision par les autorités administratives et les juridictions administratives</w:t>
      </w:r>
    </w:p>
    <w:p>
      <w:r>
        <w:t>- 4/7 -</w:t>
      </w:r>
    </w:p>
    <w:p>
      <w:r>
        <w:t>C/28800/2025-CS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cantonale de recours du Registre du commerce (cf. notamment DAS/207/2014 c. 1.1).</w:t>
      </w:r>
    </w:p>
    <w:p>
      <w:r>
        <w:t>Le délai de recours est de trente jours et court dès le lendemain de la notification de la décision (art. 942 al. 1 CO; art. 62 al. 3 LPA; art. 17 al. 1 LPA).</w:t>
      </w:r>
    </w:p>
    <w:p>
      <w:r>
        <w:rPr>
          <w:b/>
        </w:rPr>
        <w:t>E. 1.2</w:t>
      </w:r>
    </w:p>
    <w:p>
      <w:r>
        <w:t>En l'espèce, le recours, déposé au greffe de la Cour dans le délai légal par le destinataire de la décision attaquée, est recevable.</w:t>
      </w:r>
    </w:p>
    <w:p>
      <w:r>
        <w:rPr>
          <w:b/>
        </w:rPr>
        <w:t>E. 2</w:t>
      </w:r>
    </w:p>
    <w:p>
      <w:r>
        <w:t>La Cour de céans a déjà eu l’occasion, dans à tout le moins deux décisions (DAS/307/2023 du 18 décembre 2023 et DAS/31/2024 du 9 février 2024), de dégager les principes applicables en la matière, qui seront rappelés ci-dessous.</w:t>
      </w:r>
    </w:p>
    <w:p>
      <w:r>
        <w:rPr>
          <w:b/>
        </w:rPr>
        <w:t>E. 2.1</w:t>
      </w:r>
    </w:p>
    <w:p>
      <w:r>
        <w:t>Selon l'art. 931 CO, toute personne physique qui exploite une entreprise et qui, au cours du précédent exercice, a réalisé un chiffre d'affaires d'au moins 100'000 francs, doit requérir l'inscription de son entreprise individuelle au registre du commerce au lieu de l'établissement (…) (al. 1). Selon l'al. 3 de cette disposition, les entreprises individuelles et les succursales qui ne sont pas soumises à l'obligation de s'inscrire peuvent requérir leur inscription au registre du commerce. Dans ce dernier cas, le registre du commerce se contente en général de s'appuyer sur la demande présentée, sauf lorsque les conditions à l'inscription ne sont manifestement pas remplies (SIFFERT, Berner Kommentar, OR-Handelsregister, 2021, Nr 9 und 31 ad art. 931) (cf. art. 37 al.1 ORC). Conformément à l'art. 931 al. 1 CO, l'inscription s'effectue au lieu de l'établissement. Ce lieu peut différer de celui du domicile du détenteur de l'entreprise individuelle. De manière générale, l'établissement est le lieu depuis lequel l'activité économique de l'entreprise individuelle est développée. Il s'agit du centre de la vie de l'entreprise (Message du Conseil fédéral sur la modification du droit des obligations (registre du commerce) du 15 avril 2015, FF 2015 p. 3641; SIFFERT, op. cit., Nr 33-34 ad art.931). Selon l'art. 929 al. 1 CO, toutes les inscriptions au registre du commerce doivent être conformes à la vérité et ne rien contenir qui soit de nature à induire en erreur ou qui soit contraire à un intérêt public. Il en va de la confiance dans les informations publiées par les registres publics (Wahrheitsgebot), de la sécurité du droit (Täuschungsverbot) et de la sécurité des transactions (Verkehrsschutz), telles que postulées par l'art 9 al. 1 CC (SIFFERT, op. cit. Nr 4ss ad art. 929).</w:t>
      </w:r>
    </w:p>
    <w:p>
      <w:r>
        <w:t>- 5/7 -</w:t>
      </w:r>
    </w:p>
    <w:p>
      <w:r>
        <w:t>C/28800/2025-CS Dans cette optique, l'art. 937 CO stipule que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 2.2.1 Selon les principes rappelés ci-dessus, est compétent pour l’inscription d’une raison individuelle le registre du commerce du lieu de son établissement, l’établissement étant le centre de vie de l’entreprise, soit l’endroit à partir duquel se développe son activité. Le recourant a soutenu disposer à Genève d’un lieu effectif d’exploitation, adapté à son activité, sans préciser s’il visait les locaux de B______ SARL ou ceux de E______ SARL. 2.2.2 Il ressort de la procédure que le recourant a domicilié son entreprise auprès de la fiduciaire B______ SARL à Genève, laquelle devrait a priori lui servir de boîte aux lettres, étant toutefois relevé que le recourant n’y est pas forcément atteignable au vu du retour auprès du greffe de la Cour du pli « non réclamé » du 16 décembre 2025. Quoiqu’il en soit, le centre de vie d’une entreprise ne saurait être une simple domiciliation auprès d’un tiers, sans présence effective de l’entreprise dans les locaux en cause et sans que son activité économique ne s’y développe. 2.2.3 Le recourant a par ailleurs produit une attestation de la société E______ SARL du 25 septembre 2025 mentionnant la sous-location d’une partie de son dépôt sis no. ______, rue 2______ par le recourant à compter du 1er septembre 2025. Force est toutefois de constater que ce document a manifestement été créé pour les besoins de la procédure. Il n’a en effet pas été spontanément et initialement produit par le recourant, mais a fait suite à ses échanges avec le Registre du commerce et le refus de celui-ci de donner suite à la requête d’inscription signifié par courrier du 8 septembre 2025. Il est par ailleurs douteux que le recourant dispose effectivement d’un lieu de stockage pour les matériaux nécessaires à son activité dans un immeuble situé en plein centre ville de Genève, destiné à l’habitation et à l’activité de cabinets médicaux. Quoiqu’il en soit et même si le recourant devait disposer d’une cave dans ledit immeuble, cela ne suffirait pas encore à en faire le centre de vie de son entreprise. Dans son recours, le recourant a affirmé que l’activité de peinture et de finitions ne requérait pas « un atelier fixe ou un local industriel », l’activité s’exerçant principalement sur les chantiers des clients. Il découle de ce qui précède que dans un tel cas, le centre de vie de l’entreprise se confond avec celui de son animateur, soit en l’espèce D______, en France.</w:t>
      </w:r>
    </w:p>
    <w:p>
      <w:r>
        <w:t>- 6/7 -</w:t>
      </w:r>
    </w:p>
    <w:p>
      <w:r>
        <w:t>C/28800/2025-CS Ainsi, la présence effective de l’entreprise du recourant à Genève n’étant pas établie, c’est à juste titre que le Registre du commerce a refusé son inscription. Infondé, le recours sera rejeté.</w:t>
      </w:r>
    </w:p>
    <w:p>
      <w:r>
        <w:rPr>
          <w:b/>
        </w:rPr>
        <w:t>E. 3</w:t>
      </w:r>
    </w:p>
    <w:p>
      <w:r>
        <w:t>Les frais de procédure, fixés à 500 fr., seront mis à la charge du recourant (art. 941 al. 1 CO; art. 3 OEmol-RC; art. 87 LPA). Ils seront compensés avec l'avance de même montant, qui reste acquise à l'Etat de Genève.</w:t>
      </w:r>
    </w:p>
    <w:p>
      <w:r>
        <w:t>Il n’y a pas lieu à l’allocation de dépens. * * * * *</w:t>
      </w:r>
    </w:p>
    <w:p>
      <w:r>
        <w:t>- 7/7 -</w:t>
      </w:r>
    </w:p>
    <w:p>
      <w:r>
        <w:t>C/28800/2025-CS PAR CES MOTIFS, La Chambre de surveillance :</w:t>
      </w:r>
    </w:p>
    <w:p>
      <w:r>
        <w:t>A la forme : Déclare recevable le recours formé le 19 novembre 2025 par A______ contre la décision rendue par le Registre du commerce le 5 novembre 2025. Au fond : Le rejette. Sur les frais : Arrête les frais à 500 fr., les met à la charge de A______ et dit qu'ils sont entièrement compensés par l'avance de frais versée de même montant, qui reste acquise à l'Etat de Genève. Dit qu'il n'est pas alloué de dépens. Siégeant : Madame Jocelyne DEVILLE-CHAVANNE, présidente; Monsieur Cédric-Laurent MICHEL et Madame Paola CAMPOMAGNANI, juges ;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