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DAS/57/2016 vom 14. Mai 2014</w:t>
      </w:r>
    </w:p>
    <w:p>
      <w:r>
        <w:t>GE Cour de justice, 2014-05-14, FR</w:t>
      </w:r>
    </w:p>
    <w:p>
      <w:r>
        <w:rPr>
          <w:b/>
        </w:rPr>
        <w:t xml:space="preserve">Quelle: </w:t>
      </w:r>
      <w:r>
        <w:t>https://mcp.opencaselaw.ch/entscheid/ge_gerichte_DAS_57_2016</w:t>
      </w:r>
    </w:p>
    <w:p>
      <w:r>
        <w:t>FR: GE_GERICHTE DAS/57/2016 du 14 mai 2014</w:t>
      </w:r>
    </w:p>
    <w:p>
      <w:r>
        <w:t>IT: GE_GERICHTE DAS/57/2016 del 14 maggio 2014</w:t>
      </w:r>
    </w:p>
    <w:p>
      <w:pPr>
        <w:pStyle w:val="Heading2"/>
      </w:pPr>
      <w:r>
        <w:t>Erwägungen</w:t>
      </w:r>
    </w:p>
    <w:p>
      <w:r>
        <w:rPr>
          <w:b/>
        </w:rPr>
        <w:t>E. 1.1</w:t>
      </w:r>
    </w:p>
    <w:p>
      <w:r>
        <w:t>Interjeté auprès de la Chambre de surveillance de la Cour de justice (art. 53 al. 1 LaCC), dans les délai et forme utiles (art. 450 al. 3, 450a et 450b al. 1 CC, applicables par renvoi de l'art. 314 al. 1 CC; art. 53 al. 2 LaCC) par la mère de l'enfant, qui dispose de la qualité pour recourir (art. 450 al. 2 ch. 1 CC; art. 35 let. b LaCC), à l'encontre d'une décision rendue par le Tribunal de protection en matière d'autorité parentale et de relations personnelles (art. 450 al. 1 CC),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retrait de la garde et du droit de déterminer le lieu de résidence de sa fille.</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w:t>
      </w:r>
    </w:p>
    <w:p>
      <w:r>
        <w:t>La cause du retrait réside dans le fait que le développement corporel, intellectuel ou moral de l'enfant n'est pas assez protégé ou encouragé dans le milieu dans</w:t>
      </w:r>
    </w:p>
    <w:p>
      <w:r>
        <w:t>- 7/10 -</w:t>
      </w:r>
    </w:p>
    <w:p>
      <w:r>
        <w:t>C/9612/2014-CS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En l'espèce, la mineure C______ a été placée au Foyer l'Odyssée d'entente avec ses parents le 22 mai 2016. Avant ce placement, l'Unité mobile d'urgences sociales était intervenue à six reprises entre le 7 mars et le 26 avril 2015 au domicile de la famille. Selon le SPMi, les difficultés relationnelles entre les parents ne garantissaient plus une stabilité au quotidien à la mineure.</w:t>
      </w:r>
    </w:p>
    <w:p>
      <w:r>
        <w:t>Dans son rapport du 30 octobre 2015, le SPMi a relevé que depuis son placement, C______ avait évolué favorablement, notamment sur le plan du langage et du déplacement dans l'espace. Elle avait trouvé un rythme de vie et une stabilité, mangeait bien et avait cessé de se faire vomir. Son sommeil était plus paisible et elle ne s'auto-agressait plus.</w:t>
      </w:r>
    </w:p>
    <w:p>
      <w:r>
        <w:t>A la suite de cette évolution, un élargissement des relations personnelles avec la mère avait été instauré. Cependant, depuis lors, l'équipe éducative avait constaté une péjoration grandissante de la situation de la mineure, avec une réapparition des symptômes qu'elle présentait à son arrivée en foyer, soit un sommeil très perturbé et une grande opposition. Le SPMi a indiqué qu'un départ du foyer risquait de mettre à néant tous les progrès que C______ avait pu faire durant son placement. Ces constations ne sont pas contredites par d'autres éléments du dossier. La Cour retient ainsi que le placement de la mineure en foyer a été dans l'intérêt de celle-ci. Ce placement était justifié dans la mesure où le développement corporel et intellectuel de l'enfant n'était pas assez protégé ou encouragé dans le milieu dans lequel elle vivait.</w:t>
      </w:r>
    </w:p>
    <w:p>
      <w:r>
        <w:t>La recourante, qui avait accepté le placement, conteste le maintien de celui-ci. Elle estime que sa situation s'est stabilisée et que ses difficultés ne l'empêchent plus de se centrer sur les besoins de l'enfant. Il ressort toutefois de la procédure que le placement est encore nécessaire pour protéger l'enfant. L'intimée a d'ailleurs accepté lors de son audition par le Tribunal de protection les recommandations du SPMi à cet égard.</w:t>
      </w:r>
    </w:p>
    <w:p>
      <w:r>
        <w:t>En définitive, la décision querellée, qui retire la garde et le droit de déterminer le lieu de résidence de la mineure à la recourante, n'est pas disproportionnée. Le placement de la mineure au Foyer l'Odyssée est par ailleurs adéquat.</w:t>
      </w:r>
    </w:p>
    <w:p>
      <w:r>
        <w:t>- 8/10 -</w:t>
      </w:r>
    </w:p>
    <w:p>
      <w:r>
        <w:t>C/9612/2014-CS</w:t>
      </w:r>
    </w:p>
    <w:p>
      <w:r>
        <w:t>Les chiffres 1 et 2 du dispositif de l'ordonnance querellée seront donc confirmés.</w:t>
      </w:r>
    </w:p>
    <w:p>
      <w:r>
        <w:rPr>
          <w:b/>
        </w:rPr>
        <w:t>E. 3</w:t>
      </w:r>
    </w:p>
    <w:p>
      <w:r>
        <w:t>La recourante a également contesté le chiffre 3 du dispositif de l'ordonnance relatif au droit de visite.</w:t>
      </w:r>
    </w:p>
    <w:p>
      <w:r>
        <w:rPr>
          <w:b/>
        </w:rPr>
        <w:t>E. 3.1</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JdT 1996 I 331 consid. 4a). Si de telles relations compromettent le développement du mineur, si les père et mère qui les entretiennent violent leurs obligations, s'ils ne se sont pas souciés sérieusement de l'enfant ou s'il existe d'autres justes motifs, le droit d'entretenir ces relations peut leur être refusé ou retiré, ainsi que le prévoit l'art. 274 al. 2 CC.</w:t>
      </w:r>
    </w:p>
    <w:p>
      <w:r>
        <w:rPr>
          <w:b/>
        </w:rPr>
        <w:t>E. 3.2</w:t>
      </w:r>
    </w:p>
    <w:p>
      <w:r>
        <w:t>En l'espèce, la recourante n'a pas véritablement contesté les modalités du droit de visite. Elle n'a notamment pas pris de conclusions subsidiaires à ce sujet, dans l'hypothèse où le retrait de garde et le placement de l'enfant au Foyer l'Odyssée étaient confirmés.</w:t>
      </w:r>
    </w:p>
    <w:p>
      <w:r>
        <w:t>Le Tribunal de protection a réservé à la recourante un droit de visite à raison de deux demi-journées par semaine, durant trois heures.</w:t>
      </w:r>
    </w:p>
    <w:p>
      <w:r>
        <w:t>Compte tenu des derniers développements, la question se pose de savoir si ce droit de visite est toujours approprié. En effet, selon le rapport du SPMi du 9 février 2016, il semblerait que la sécurité de C______ ne soit plus assurée lors de ses visites auprès de sa mère. Le SPMi a ainsi préconisé la suspension des visites entre C______ et sa mère à son domicile. Le Tribunal de protection a fait suite à cette demande de suspension sur mesures superprovisionnelles le 9 février 2016. Il lui appartiendra de déterminer si cette restriction doit être maintenue ou non.</w:t>
      </w:r>
    </w:p>
    <w:p>
      <w:r>
        <w:t>En l'état, s'agissant des modalités du droit de visite prévues dans l'ordonnance querellée, la Chambre de surveillance n'a pas de raison de les modifier compte tenu de ce qui précède.</w:t>
      </w:r>
    </w:p>
    <w:p>
      <w:r>
        <w:t>Le chiffre 3 de l'ordonnance querellée sera donc également confirmé.</w:t>
      </w:r>
    </w:p>
    <w:p>
      <w:r>
        <w:t>- 9/10 -</w:t>
      </w:r>
    </w:p>
    <w:p>
      <w:r>
        <w:t>C/9612/2014-CS</w:t>
      </w:r>
    </w:p>
    <w:p>
      <w:r>
        <w:rPr>
          <w:b/>
        </w:rPr>
        <w:t>E. 3.3</w:t>
      </w:r>
    </w:p>
    <w:p>
      <w:r>
        <w:t>Pour les motifs qui résultent de la présente décision, la Chambre de surveillance confirmera également le curatelle d'organisation et de surveillance des relations personnelles étendue aux relations mère-fille (ch. 9 de l'ordonnance querellée).</w:t>
      </w:r>
    </w:p>
    <w:p>
      <w:r>
        <w:rPr>
          <w:b/>
        </w:rPr>
        <w:t>E. 4</w:t>
      </w:r>
    </w:p>
    <w:p>
      <w:r>
        <w:t>Le recours est donc infondé. Il sera rejeté et l'ordonnance querellée sera confirmée.</w:t>
      </w:r>
    </w:p>
    <w:p>
      <w:r>
        <w:rPr>
          <w:b/>
        </w:rPr>
        <w:t>E. 5</w:t>
      </w:r>
    </w:p>
    <w:p>
      <w:r>
        <w:t>La procédure est gratuite (art. 81 LaCC). * * * * *</w:t>
      </w:r>
    </w:p>
    <w:p>
      <w:r>
        <w:t>- 10/10 -</w:t>
      </w:r>
    </w:p>
    <w:p>
      <w:r>
        <w:t>C/9612/2014-CS PAR CES MOTIFS, La Chambre de surveillance : A la forme : Déclare recevable le recours formé par A______ le 23 décembre 2015 contre l'ordonnance DTAE/5003/2015 rendue par le Tribunal de protection de l'adulte et de l'enfant le 12 novembre 2015 dans la cause C/9612/2014-7. Au fond : Rejette le recours et confirme l'ordonnance querellée. Déboute les parties de toutes autres conclusions. Sur le frais : Dit que la procédure est gratuite. Dit qu'il n'y a pas lieu à allocation de dépens.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