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DAS/56/2021 vom 7. Dezember 2020</w:t>
      </w:r>
    </w:p>
    <w:p>
      <w:r>
        <w:t>GE Cour de justice, 2020-12-07, FR</w:t>
      </w:r>
    </w:p>
    <w:p>
      <w:r>
        <w:rPr>
          <w:b/>
        </w:rPr>
        <w:t xml:space="preserve">Quelle: </w:t>
      </w:r>
      <w:r>
        <w:t>https://mcp.opencaselaw.ch/entscheid/ge_gerichte_DAS_56_2021</w:t>
      </w:r>
    </w:p>
    <w:p>
      <w:r>
        <w:t>FR: GE_GERICHTE DAS/56/2021 du 7 décembre 2020</w:t>
      </w:r>
    </w:p>
    <w:p>
      <w:r>
        <w:t>IT: GE_GERICHTE DAS/56/2021 del 7 dicembre 2020</w:t>
      </w:r>
    </w:p>
    <w:p>
      <w:pPr>
        <w:pStyle w:val="Heading2"/>
      </w:pPr>
      <w:r>
        <w:t>Erwägungen</w:t>
      </w:r>
    </w:p>
    <w:p>
      <w:r>
        <w:rPr>
          <w:b/>
        </w:rPr>
        <w:t>E. 1.1</w:t>
      </w:r>
    </w:p>
    <w:p>
      <w:r>
        <w:t>Les décisions du juge de Paix en matière successorale relèvent de la juridiction gracieuse et sont soumises à la procédure sommaire (art. 248 let. e CPC). Elles sont susceptibles d'un appel dans le délai de dix jours (art. 314 al. 1 CPC) auprès de la Chambre civile de la Cour de justice (art. 120 al. 2 LOJ) si la valeur litigieuse est égale ou supérieure à 10'000 fr. (art. 308 al. 2 CPC).</w:t>
      </w:r>
    </w:p>
    <w:p>
      <w:r>
        <w:rPr>
          <w:b/>
        </w:rPr>
        <w:t>E. 1.2</w:t>
      </w:r>
    </w:p>
    <w:p>
      <w:r>
        <w:t>En l'espèce, les fermages perçus pour la location des parcelles agricoles, propriété des hoiries, sont de 8'000 fr. par an, de sorte qu'en application de l'art. 92 al. 2 CPC, la valeur litigieuse est supérieure à 10'000 fr.</w:t>
      </w:r>
    </w:p>
    <w:p>
      <w:r>
        <w:t>Pour le surplus, l'appel a été déposé dans le délai et la forme prescrits par la loi (art. 130, 131, 311 al. 1 et 314 al. 1 CPC) auprès de l'autorité compétente pour en connaître, de sorte qu'il est recevable.</w:t>
      </w:r>
    </w:p>
    <w:p>
      <w:r>
        <w:rPr>
          <w:b/>
        </w:rPr>
        <w:t>E. 1.3</w:t>
      </w:r>
    </w:p>
    <w:p>
      <w:r>
        <w:t>La Cour revoit la cause EN FAIT et EN DROIT avec un plein pouvoir d'examen (art. 310 CPC).</w:t>
      </w:r>
    </w:p>
    <w:p>
      <w:r>
        <w:rPr>
          <w:b/>
        </w:rPr>
        <w:t>E. 2</w:t>
      </w:r>
    </w:p>
    <w:p>
      <w:r>
        <w:t>L'appelante reproche au juge de Paix d'avoir rejeté sa requête en désignation d'un représentant à la succession, alors qu'un conflit opposerait les hoirs, de sorte qu'elle ne pourrait obtenir toutes les informations nécessaires concernant la gestion des biens en hoirie effectuée par l'un des héritiers, la gestion elle-même de ces biens étant qualifiée de suspecte.</w:t>
      </w:r>
    </w:p>
    <w:p>
      <w:r>
        <w:rPr>
          <w:b/>
        </w:rPr>
        <w:t>E. 2.1</w:t>
      </w:r>
    </w:p>
    <w:p>
      <w:r>
        <w:t>S'il y a plusieurs héritiers, tous les droits et obligations compris dans la succession restent indivis jusqu'au partage (art. 602 al. 1 CC). A la demande de l'un des héritiers, l'autorité compétente peut désigner un représentant à la communauté héréditaire jusqu'au moment du partage (art. 602 al. 3 CC).</w:t>
      </w:r>
    </w:p>
    <w:p>
      <w:r>
        <w:t>La nomination d'un représentant de l'hoirie doit être faite chaque fois qu'elle paraît utile, selon l'appréciation de l'autorité, parce que les héritiers ne peuvent pas agir</w:t>
      </w:r>
    </w:p>
    <w:p>
      <w:r>
        <w:t>- 5/7 -</w:t>
      </w:r>
    </w:p>
    <w:p>
      <w:r>
        <w:t>C/18992/1998 envers des tiers, d'une façon générale ou dans un cas particulier, en raison de leurs divergences, ou en cas de blocage survenu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CR-CC ad art. 602 n. 62 et ss 71, 73, 74).</w:t>
      </w:r>
    </w:p>
    <w:p>
      <w:r>
        <w:t>L'autorité peut donner un pouvoir général de gérer la succession aux représentants de l'hoirie. Sauf précision contraire, les pouvoirs du représentant sont alors ceux d'un exécuteur testamentaire, à ceci près qu'il n'a pas à préparer le partage de la succession (STEINAUER, Le droit des successions, 2015 n. 1224). La désignation d'un représentant de la communauté héréditaire jusqu'au partage, est une mesure ordonnée dans le cadre de la dévolution successorale (arrêt du Tribunal fédéral 5A_267/2012 consid. 3.1). Le représentant de l'hoirie indivise est nommé pour la communauté des héritiers, non comme le représentant et dans l'intérêt d'un unique héritier (arrêt du Tribunal fédéral 5A_241/2014 consid. 2.1).</w:t>
      </w:r>
    </w:p>
    <w:p>
      <w:r>
        <w:t>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(SPAHR, op., cit. n. 73 ad art. 602 CC).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(ibidem). La désignation d'un représentant de la communauté doit servir en premier lieu les droits de la succession et la capacité à représenter la communauté à l'égard des tiers. Elle n'est toutefois pas faite pour le règlement de conflits purement internes entre les héritiers (WOLF, Bernard Kommentar, 2014 n. 139 ad art. 602 CC). Un rapport de confiance rompu entre les héritiers peut toutefois suffire pour la désignation d'un représentant de la communauté (ibidem).</w:t>
      </w:r>
    </w:p>
    <w:p>
      <w:r>
        <w:t>En outre, en présence d'une communauté héréditaire prolongée, la désignation d'un représentant de la communauté héréditaire doit être ordonnée avec retenue dans la mesure où la poursuite de la communauté héréditaire ne vise plus le partage mais la gestion commune de la succession (arrêt du Tribunal fédéral 5D_133/2010 consid. 4.3.4 et réf. cit.).</w:t>
      </w:r>
    </w:p>
    <w:p>
      <w:r>
        <w:rPr>
          <w:b/>
        </w:rPr>
        <w:t>E. 2.2</w:t>
      </w:r>
    </w:p>
    <w:p>
      <w:r>
        <w:t>Dans le cas d'espèce, il ressort de l'état de fait que la première communauté héréditaire entre les parties remonte au ______ 1998, date du décès de D______,</w:t>
      </w:r>
    </w:p>
    <w:p>
      <w:r>
        <w:t>- 6/7 -</w:t>
      </w:r>
    </w:p>
    <w:p>
      <w:r>
        <w:t>C/18992/1998 son épouse E______, mère de B______, étant pour sa part décédée le ______ 2012. Les parties à la procédure sont dès lors en communauté héréditaire prolongée depuis près de 25 ans dans la succession de leur père, et depuis près de 10 ans dans la seconde succession.</w:t>
      </w:r>
    </w:p>
    <w:p>
      <w:r>
        <w:t>Par ailleurs, les parties ont passé en octobre 2004 une convention de partage partiel dont personne n'indique qu'elle n'a pas été exécutée, de sorte qu'il doit être retenu que les rapports entre elles à cette date n'étaient pas si mauvais que le prétend l'appelante.</w:t>
      </w:r>
    </w:p>
    <w:p>
      <w:r>
        <w:t>De plus, il ne ressort pas du dossier qu'hormis quelques dissensions ponctuelles et récentes, la substance de la succession serait en danger, respectivement que la gestion de facto des fermages, seul élément de friction, par l'héritier B______ apparaît à ce point problématique qu'un représentant doive être désigné à ladite communauté. En outre, conformément à ce qui a été rappelé ci-dessus, un représentant ne sera pas désigné en cas de communauté prolongée, dans la mesure où celle-ci ne vise plus le partage mais la gestion de ladite communauté. C'est donc à juste titre que le juge de Paix a considéré que les conditions à la désignation d'un représentant à l'hoirie n'étaient pas remplies.</w:t>
      </w:r>
    </w:p>
    <w:p>
      <w:r>
        <w:t>Au vu de ce qui précède enfin, il n'y a pas lieu à l'ordonnance de mesures d'instruction complémentaires.</w:t>
      </w:r>
    </w:p>
    <w:p>
      <w:r>
        <w:rPr>
          <w:b/>
        </w:rPr>
        <w:t>E. 3</w:t>
      </w:r>
    </w:p>
    <w:p>
      <w:r>
        <w:t>Par conséquent, infondé, l'appel sera rejeté et la décision entreprise confirmée sous suite de frais fixés à 500 fr. et mis à la charge de l'appelante qui succombe. Ce montant sera entièrement compensé par l'avance de frais versée, qui reste acquise à l'Etat de Genève. L'appelante sera en outre condamnée au paiement de 1'000 fr. à titre de dépens en faveur de B______. C______ n'ayant pas procédé dans la procédure d'appel, il ne lui sera pas alloué de dépens.</w:t>
      </w:r>
    </w:p>
    <w:p>
      <w:r>
        <w:t>* * * * *</w:t>
      </w:r>
    </w:p>
    <w:p>
      <w:r>
        <w:t>- 7/7 -</w:t>
      </w:r>
    </w:p>
    <w:p>
      <w:r>
        <w:t>C/18992/1998</w:t>
      </w:r>
    </w:p>
    <w:p>
      <w:r>
        <w:t>PAR CES MOTIFS, La Chambre civile : A la forme : Déclare recevable l'appel déposé le 21 décembre 2020 par A______ contre la décision DJP/512/2020 rendue le 7 décembre 2020 par la justice de Paix dans la cause C/18992/1998. Au fond : Confirme la décision attaquée. Arrête les frais de la procédure à 500 fr., les met à la charge de A______ et les compense en totalité avec l'avance de frais versée par elle qui reste acquise à l'Etat de Genève. La condamne au paiement à B______ de dépens à hauteur de 1'000 fr. Siégeant : Monsieur Cédric-Laurent MICHEL, président; Mesdames Paola CAMPOMAGNANI et Jocelyne DEVILLE-CHAVANNE, juges; Madame Jessica QUINODOZ,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