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DAS/55/2016 vom 29. Februar 2016</w:t>
      </w:r>
    </w:p>
    <w:p>
      <w:r>
        <w:t>GE Cour de justice, 2016-02-29, FR</w:t>
      </w:r>
    </w:p>
    <w:p>
      <w:r>
        <w:rPr>
          <w:b/>
        </w:rPr>
        <w:t xml:space="preserve">Quelle: </w:t>
      </w:r>
      <w:r>
        <w:t>https://mcp.opencaselaw.ch/entscheid/ge_gerichte_DAS_55_2016</w:t>
      </w:r>
    </w:p>
    <w:p>
      <w:r>
        <w:t>FR: GE_GERICHTE DAS/55/2016 du 29 février 2016</w:t>
      </w:r>
    </w:p>
    <w:p>
      <w:r>
        <w:t>IT: GE_GERICHTE DAS/55/2016 del 29 febbraio 2016</w:t>
      </w:r>
    </w:p>
    <w:p>
      <w:pPr>
        <w:pStyle w:val="Heading2"/>
      </w:pPr>
      <w:r>
        <w:t>Erwägungen</w:t>
      </w:r>
    </w:p>
    <w:p>
      <w:r>
        <w:rPr>
          <w:b/>
        </w:rPr>
        <w:t>E. 1</w:t>
      </w:r>
    </w:p>
    <w:p>
      <w:r>
        <w:t>La présente cause présente un élément d'extranéité, dans la mesure où le mineur est de nationalité marocaine. Le Maroc n'est pas partie à la Convention de La Haye du 29 mai 1993 sur la protection des enfants et la coopération en matière d'adoption internationale (CLaH93), de sorte que la présente adoption est régie par les règles de la LDIP.</w:t>
      </w:r>
    </w:p>
    <w:p>
      <w:r>
        <w:t>- 4/5 -</w:t>
      </w:r>
    </w:p>
    <w:p>
      <w:r>
        <w:t>C/27642/2015-CS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de la requérante et du mineur concerné, la Cour de justice est compétente pour connaître de la requête (art. 268 al. 1 CC; art. 120 al. 1 let. c LOJ).</w:t>
      </w:r>
    </w:p>
    <w:p>
      <w:r>
        <w:rPr>
          <w:b/>
        </w:rPr>
        <w:t>E. 2.1</w:t>
      </w:r>
    </w:p>
    <w:p>
      <w:r>
        <w:t>En l'espèce, la requérante remplit toutes les conditions exigées par la loi pour que l'adoption soit prononcée. A______, qui adopte seule, est en effet divorcée et âgée de plus de 35 ans (art. 264b al. 1 CC). L'écart d'âge entre elle-même et l'enfant est par ailleurs respecté (art. 265 al. 1 CC) et elle a pourvu de manière adéquate à l'éducation et à l'entretien de B______ pendant plus d'une année (art. 264 CC). Il ressort par ailleurs de l'enquête exigée par l'art. 268a CC, effectuée par les services genevois compétents, que l'adoption du mineur par la requérante sert son intérêt (art. 264 CC). Le Tribunal de protection a enfin donné son consentement à l'adoption sollicitée (art. 265 al. 3 CC).</w:t>
      </w:r>
    </w:p>
    <w:p>
      <w:r>
        <w:t>Au vu de ces éléments et des liens affectifs qui unissent la requérante et B______, tels qu'ils ressortent du rapport de fin de tutelle (art. 268a al. 1 CC), les conditions posées à l'adoption sont réunies, étant relevé que l'enfant, âgé de bientôt douze ans, a consenti à l'adoption (art. 265 al. 2 CC).</w:t>
      </w:r>
    </w:p>
    <w:p>
      <w:r>
        <w:t>Il sera fait abstraction du consentement du père biologique, demeuré inconnu (art. 265c ch. 1 CC). Quant à la mère, elle a donné valablement son consentement à l'adoption en renonçant "définitivement et irrévocablement" à ses droits.</w:t>
      </w:r>
    </w:p>
    <w:p>
      <w:r>
        <w:rPr>
          <w:b/>
        </w:rPr>
        <w:t>E. 3</w:t>
      </w:r>
    </w:p>
    <w:p>
      <w:r>
        <w:t>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(art. 98, 101 et 111 CPC). * * * * *</w:t>
      </w:r>
    </w:p>
    <w:p>
      <w:r>
        <w:t>- 5/5 -</w:t>
      </w:r>
    </w:p>
    <w:p>
      <w:r>
        <w:t>C/27642/2015-CS PAR CES MOTIFS, La Chambre civile : Prononce l'adoption du mineur B______, né le ______ 2004 à D______ (Maroc), de nationalité marocaine, par A______, née le ______ 1957 au Maroc, originaire de Genève. Arrête les frais de la procédure à 1'000 fr., les met à la charge de A______ et les compense avec l'avance de frais de même montant,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la requérante.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