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DAS/52/2023 vom 20. Oktober 2022</w:t>
      </w:r>
    </w:p>
    <w:p>
      <w:r>
        <w:t>GE Cour de justice, 2022-10-20, FR</w:t>
      </w:r>
    </w:p>
    <w:p>
      <w:r>
        <w:rPr>
          <w:b/>
        </w:rPr>
        <w:t xml:space="preserve">Quelle: </w:t>
      </w:r>
      <w:r>
        <w:t>https://mcp.opencaselaw.ch/entscheid/ge_gerichte_DAS_52_2023</w:t>
      </w:r>
    </w:p>
    <w:p>
      <w:r>
        <w:t>FR: GE_GERICHTE DAS/52/2023 du 20 octobre 2022</w:t>
      </w:r>
    </w:p>
    <w:p>
      <w:r>
        <w:t>IT: GE_GERICHTE DAS/52/2023 del 20 ottobre 2022</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Une motivation déposée après la fin du délai de recours n'est pas admissible (arrêt du Tribunal fédéral 5A_2013 du 18 mars 2013 consid. 3.2.3.4 et 4.3). 1.1.2 Interjeté par la mère du mineur, ayant qualité pour recourir, dans le délai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1.4</w:t>
      </w:r>
    </w:p>
    <w:p>
      <w:r>
        <w:t>Il ne sera pas entré en matière dans la présente décision sur les différents reproches ou griefs formulés sur de nombreuses pages dans son recours par la recourante, relatifs aux décisions du Tribunal de protection entrées en force, ou d'ores et déjà examinés dans le cadre de la décision rendue par la Chambre de céans le 1er avril 2021, suite au prononcé des mesures provisionnelles rendues par le Tribunal de protection le 27 octobre 2020. Il en ira de même concernant</w:t>
      </w:r>
    </w:p>
    <w:p>
      <w:r>
        <w:t>- 12/19 -</w:t>
      </w:r>
    </w:p>
    <w:p>
      <w:r>
        <w:t>C/3979/2020-CS les remarques d'ordre général formulées par la recourante sur le fonctionnement des institutions étatiques, irrecevables dans le cadre du recours soumis à la Chambre de céans, qui est compétente uniquement pour traiter des griefs formés à l'encontre de la décision entreprise.</w:t>
      </w:r>
    </w:p>
    <w:p>
      <w:r>
        <w:rPr>
          <w:b/>
        </w:rPr>
        <w:t>E. 2</w:t>
      </w:r>
    </w:p>
    <w:p>
      <w:r>
        <w:t>La recourante se plaint d'une violation de son droit d'être entendue.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w:t>
      </w:r>
    </w:p>
    <w:p>
      <w:r>
        <w:rPr>
          <w:b/>
        </w:rPr>
        <w:t>E. 2.2</w:t>
      </w:r>
    </w:p>
    <w:p>
      <w:r>
        <w:t>En l'espèce, aucune violation du droit d'être entendu ne peut être retenue. En effet, le préavis du SPMi du 1er juillet 2022, préconisant le placement du mineur en famille d'accueil et le maintien de la suspension de tout droit de visite de la mère, a été communiqué à la recourante le 4 juillet 2022, un délai pour se déterminer sur les modalités préconisées lui ayant été accordé au 2 août 2022. Cette dernière a répondu le 5 juillet 2022 être en Espagne, sans date de retour, et a sollicité que les documents lui soient adressés par courriels, ce qui a été fait le</w:t>
      </w:r>
    </w:p>
    <w:p>
      <w:r>
        <w:rPr>
          <w:b/>
        </w:rPr>
        <w:t>E. 3</w:t>
      </w:r>
    </w:p>
    <w:p>
      <w:r>
        <w:t>décembre 2013 consid. 3.3.1; ATF 127 III 193 consid. 3).</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w:t>
      </w:r>
    </w:p>
    <w:p>
      <w:r>
        <w:t>- 13/19 -</w:t>
      </w:r>
    </w:p>
    <w:p>
      <w:r>
        <w:t>C/3979/2020-CS ainsi au Tribunal de protection, qui détermine alors le lieu de résidence du mineur et choisit son encadrement. Le danger doit être tel qu'il soit impossible de le prévenir par les mesures moins énergiques prévues aux art. 307 et 308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w:t>
      </w:r>
    </w:p>
    <w:p>
      <w:r>
        <w:rPr>
          <w:b/>
        </w:rPr>
        <w:t>E. 3.2</w:t>
      </w:r>
    </w:p>
    <w:p>
      <w:r>
        <w:t>En l'espèce, la décision de retrait du droit de garde et de déterminer le lieu de résidence de la mère sur le mineur, d’ores et déjà prononcée sur mesures provisionnelles, respecte les principes de proportionnalité et de subsidiarité et doit être maintenue. En effet, il ressort du dossier soumis à la Chambre de surveillance que la recourante, malgré les différentes mesures d’accompagnement mises en place depuis la naissance de son fils, ne parvient pas à s’en occuper adéquatement. Même si elle a pu apprendre à effectuer les soins quotidiens à lui prodiguer, elle n’a pas pu progresser dans la prise en charge du mineur, notamment en raison du fait qu’elle ne parvient pas à décoder ses émotions et ses intentions. Elle se montre ainsi peu capable de s’ajuster à son état, ne lui fournit aucun retour émotionnel, est démunie face à ses crises, n’anticipe pas les dangers le menaçant et ne lui signifie pas non plus les interdits de manière spontanée, ce qui ne permet pas à l’enfant de se rassurer, ni de développer une reconnaissance et une</w:t>
      </w:r>
    </w:p>
    <w:p>
      <w:r>
        <w:t>- 14/19 -</w:t>
      </w:r>
    </w:p>
    <w:p>
      <w:r>
        <w:t>C/3979/2020-CS compréhension de ses propres émotions et de celles d’autrui. La recourante éprouve également des difficultés à prendre conscience de son rôle parental, malgré l'attachement manifeste qu'elle témoigne à son fils. Elle peine également à faire passer l’intérêt de l'enfant avant le sien, se centrant essentiellement sur la question de son droit à être mère, malgré son handicap, alors que la question centrale est de savoir si elle parvient ou non à prendre en charge seule son fils, ce qui n'est pas le cas, de l'avis de l'ensemble des intervenants qui entourent le mineur. La recourante présente, de surcroît, depuis mars 2022, une décompensation de son état psychique, qui l'a conduite à adopter des comportements irrationnels et est incompatible avec la prise en charge de son enfant. Si certes, comme le relève la recourante, pour autant que ce grief formulé pour la première fois dans sa réplique soit recevable, l'expertise psychiatrique familiale n'a pas été réalisée par un médecin spécialiste de l'autisme Asperger, comme la Chambre de surveillance l'avait préconisé dans sa décision du 13 janvier 2021, afin de connaître les capacités de progression de la recourante eu égard à ce trouble, il ressort des éléments nouveaux du dossier que cette dernière ne serait finalement pas affectée d'un tel syndrome. L'évaluation effectuée sous la responsabilité du Dr G______ (chef de clinique à l'Unité de développement mental au sein des HUG) le 31 mars 2021, dans le cadre de l'expertise familiale réalisée, sur demande des expertes, a en effet exclu la présence d'un trouble envahissant du développement, d'un syndrome d'Asperger ainsi que d'un trouble du spectre autistique chez la recourante. Un même constat a été fait par la psychologue de l'UPDM, elle-même sollicitée par les expertes, dans son rapport du 15 mars 2022. Ce n'est donc pas la Dre K______, spécialiste en psychiatrie et psychothérapie pour enfants et adolescents, qui dispose des compétences nécessaires pour superviser l'expertise contrairement à ce que soutient sans fondement la recourante, qui a exclu la présence d'un syndrome d'Asperger chez la recourante, mais bien des spécialistes du domaine qui ont l'expertise nécessaire pour diagnostiquer un tel trouble chez une personne adulte. Il ressort par ailleurs de l'expertise psychiatrique pénale réalisée le 8 novembre 2022 par la Dre O______, psychiatre psychothérapeute FMH, médecin cheffe de clinique au Centre universitaire romand de médecine légale (CURML), que la recourante serait en réalité affectée d'un trouble de personnalité de type paranoïaque et d'un trouble léger à moyen concernant ses fonctions cognitives. Il ne sera donc pas donné suite à la conclusion formulée par la recourante, dans la mesure de sa recevabilité, de renvoyer la cause au Tribunal de protection afin qu'il ordonne un complément d'expertise diligentée par un psychiatre spécialiste en psychiatrie de l'adulte et en trouble de l'autisme dès lors que, en l'état, le diagnostic précis de la maladie dont souffre la recourante a été arrêté par un médecin psychiatre psychothérapeute FMH pour adulte, de même que la présence d'un trouble autistique a été exclu par un psychologue pour adulte au sein d'une unité spécialisée et par deux médecins psychiatres pour adulte. Quoi qu'il en soit, à ce</w:t>
      </w:r>
    </w:p>
    <w:p>
      <w:r>
        <w:t>- 15/19 -</w:t>
      </w:r>
    </w:p>
    <w:p>
      <w:r>
        <w:t>C/3979/2020-CS stade, le diagnostic précis du trouble dont est affectée la recourante passe au second plan, puisque, au vu du constat des divers intervenants, elle ne présente pas, en l'état, les capacités parentales suffisantes pour s'occuper de son enfant.</w:t>
      </w:r>
    </w:p>
    <w:p>
      <w:r>
        <w:t>C'est ainsi à raison que le Tribunal de protection a retiré à la recourante le droit de déterminer le lieu de résidence et la garde de son fils. Le chiffre 1 du dispositif de l’ordonnance sera ainsi confirmé et la recourante sera déboutée de toutes ses conclusions, dans la mesure de leur recevabilité. 4. La recourante s’oppose au placement du mineur en famille d’accueil et sollicite que la garde de son fils soit confiée à sa propre mère, qui l’accepte. 4.1 Le choix du lieu de placement doit être approprié aux besoins de l’enfant. Les critères à prendre en compte sont notamment l’âge de l’enfant, étant précisé qu’on préférera généralement une famille nourricière pour un enfant en bas âge, sa personnalité, ses besoins quant à son suivi éducatif ou, de manière générale quant à sa prise en charge (MEIER, in Commentaire Romand CC I n. 22 ad art. 310 CC). 4.2 En l’espèce, le mineur D______, âgé de trois ans, est placé en foyer depuis sa naissance. L’ensemble des intervenants entourant le mineur, de même que les expertes, insistent sur la nécessité que l’enfant soit dorénavant placé en famille d’accueil afin qu’il puisse bénéficier d’un encadrement stable et sécurisant. La recourante, laquelle a joui d’un étayage important pour apprendre à s'occuper de son enfant, semble avoir atteint ses limites, outre le fait qu'elle présente depuis mars 2022 une décompensation de son état psychique. Il n'est, dès lors, pas possible que le mineur demeure plus longtemps en foyer, aucune possibilité de prise en charge de l’enfant par sa mère ne paraissant, à court ou moyen terme, envisageable et l’enfant devant pouvoir dorénavant bénéficier d’un environnement de type familial, stable et serein afin de se développer harmonieusement. Il n’est de même pas envisageable que le mineur soit placé auprès de sa grand- mère maternelle et ce, pour diverses raisons. Cette dernière hébergeant la recourante, le placement de l'enfant auprès d'elle reviendrait à restituer, de manière indirecte, la garde de celui-ci à sa mère, ce qui est contraire à la présente décision, sans compter que la sécurité de l'enfant serait compromise, compte tenu des projets d’enlèvement de l’enfant fomentés par sa mère. Outre ces points rédhibitoires, les intervenants en protection de l’enfant ont relevé que la grand-mère maternelle se montrait également démunie face aux crises de l’enfant et ne parvenait pas à lui poser de cadre. Elle s’était également présentée à plusieurs reprises au Foyer F______ en compagnie de sa fille, alors que cette dernière persistait sans droit à vouloir reprendre son fils, de sorte qu'elle ne</w:t>
      </w:r>
    </w:p>
    <w:p>
      <w:r>
        <w:t>- 16/19 -</w:t>
      </w:r>
    </w:p>
    <w:p>
      <w:r>
        <w:t>C/3979/2020-CS semble pas parvenir à se distancer du comportement inapproprié de sa fille. Le rapport d'expertise pénale versé à la procédure par la recourante précise par ailleurs que la grand-mère maternelle souffre d'une déficience intellectuelle, avec prise en charge par l'Assurance-invalidité. Cette déficience a également été constatée par les expertes qui l'ont entendue. Pour l'ensemble de ces raisons, la grand-mère maternelle ne présente pas les qualités nécessaires à la prise en charge de son petit-fils, de sorte que celui-ci ne peut être placée auprès d'elle et qu'il s'avère donc inutile de renvoyer la cause au Tribunal de protection pour procéder à son audition, dans la mesure de la recevabilité de cette conclusion formée uniquement au stade des déterminations de la recourante du 19 décembre 2022. Le placement en famille d'accueil est ainsi la solution la plus adéquate, compte tenu de la situation actuelle du mineur, lequel souffre d’un trouble de l’attachement, outre divers retards de développement, et doit pouvoir bénéficier du cadre rassurant d'une famille, dans un lieu approprié et contenant, que ni la recourante ni la mère de celle-ci ne sont en mesure de lui apporter. Les chiffres 2 et 3 du dispositif de l’ordonnance doivent ainsi être confirmés et la recourante doit être déboutée de toutes ses conclusions. 5. La recourante sollicite la restitution d’un droit de visite sur son fils.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- 17/19 -</w:t>
      </w:r>
    </w:p>
    <w:p>
      <w:r>
        <w:t>C/3979/2020-CS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5.2 En l'espèce, c’est à juste titre que tout droit de visite de la recourante sur son fils a été suspendu. L’état de santé psychique actuel de la mère ne permet en effet plus, tant que les soins nécessaires à l'amélioration et la stabilisation de son état ne lui ont pas apportés, d’entretenir des relations avec son fils. L’anosognosie de ses troubles et son incapacité à comprendre qu’elle n’est pas en mesure d’apporter les soins nécessaires à celui-ci, lequel doit être accueilli au sein d’une famille capable de lui apporter ce dont il a besoin, l’ont en effet conduite à adopter des comportements déviants, avec risque d’enlèvement de son fils, lequel est toujours actuellement présent, ce qui est incompatible avec la fixation d’un droit aux relations personnelles, la sécurité de mineur étant menacée. Par ailleurs, depuis la suspension de toutes relations personnelles, l’équipe éducative du Foyer F______ a constaté une amélioration du sommeil de l’enfant, qui se réveillait moins la nuit, ne hurlait plus durant son sommeil, présentait une meilleure gestion émotionnelle et était moins agité par de grosses</w:t>
      </w:r>
    </w:p>
    <w:p>
      <w:r>
        <w:t>- 18/19 -</w:t>
      </w:r>
    </w:p>
    <w:p>
      <w:r>
        <w:t>C/3979/2020-CS crises de colère. La suspension de tout droit de visite de la recourante sur son fils est ainsi bénéfique à l'enfant, lequel devra encore devoir s'adapter à de nouvelles conditions de vie auprès de sa famille d'accueil, ce qui représente déjà pour lui un changement important, sans que ne soit pris le risque que la recourante vienne perturber ce nouvel équilibre, alors qu'elle n'est pas encore soignée de ses troubles psychiques. Le bien de l’enfant commande donc de maintenir la suspension de toutes relations personnelles entre la recourante et le mineur, aucune mesure moins incisive ne pouvant, en l'état, être prise, de sorte que le chiffre 6 du dispositif de l’ordonnance sera confirmé et la recourante déboutée de toutes ses conclusions. Il en ira de même de la décision maintenant l'interdiction faite à la recourante d'approcher l'enfant, ainsi que de se rendre au Foyer F______ en l'état, ce afin de préserver la sécurité et le bon développement du mineur. Le chiffre 14 du dispositif de l’ordonnance sera ainsi confirmé. 6. S'agissant de mesures de protection des mineurs, la procédure est gratuite (art. 81 al. 1 LaCC). Il n'est pas alloué de dépens. * * * * *</w:t>
      </w:r>
    </w:p>
    <w:p>
      <w:r>
        <w:t>- 19/19 -</w:t>
      </w:r>
    </w:p>
    <w:p>
      <w:r>
        <w:t>C/3979/2020-CS PAR CES MOTIFS, La Chambre de surveillance : A la forme : Déclare recevable le recours formé le 20 octobre 2022 par A______ contre l'ordonnance DTAE/6598/2022 rendue le 30 août 2022 par le Tribunal de protection de l'adulte et de l'enfant dans la cause C/3979/2020. Au fond : Confirme l'ordonnance. Déboute A______ de toutes autres conclusions, dans la mesure de leur recevabilité. Sur les frais : Dit que la procédure est gratuite et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7</w:t>
      </w:r>
    </w:p>
    <w:p>
      <w:r>
        <w:t>juillet 2022. La recourante s'est déterminée par écrit la veille en adressant un courriel au Tribunal de protection par lequel elle a réitéré sa volonté que son fils sorte du Foyer F______ et s'est opposée à la suspension de son droit de visite sur ce dernier. Elle a encore déposé un courrier d'un contenu similaire le 19 juillet 2022 au greffe du Tribunal de protection. Elle s'est ainsi exprimée à plusieurs reprises avant que la décision ne soit rendue, de sorte qu'aucune violation de son droit d'être entendue ne peut être retenue. Quoi qu'il en soit, la recourante a encore pu s'exprimer dans son acte de recours devant la Chambre de surveillance, laquelle dispose d'un pouvoir de cognition complet. Son grief sera rejeté. 3. La recourante s'oppose au maintien du retrait de la garde et du droit de déterminer le lieu de résidence du mineur et sollicite que la garde de celui-ci lui soit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