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DAS/52/2020 vom 16. April 2020</w:t>
      </w:r>
    </w:p>
    <w:p>
      <w:r>
        <w:t>GE Cour de justice, 2020-04-16, FR</w:t>
      </w:r>
    </w:p>
    <w:p>
      <w:r>
        <w:rPr>
          <w:b/>
        </w:rPr>
        <w:t xml:space="preserve">Quelle: </w:t>
      </w:r>
      <w:r>
        <w:t>https://mcp.opencaselaw.ch/entscheid/ge_gerichte_DAS_52_2020</w:t>
      </w:r>
    </w:p>
    <w:p>
      <w:r>
        <w:t>FR: GE_GERICHTE DAS/52/2020 du 16 avril 2020</w:t>
      </w:r>
    </w:p>
    <w:p>
      <w:r>
        <w:t>IT: GE_GERICHTE DAS/52/2020 del 16 aprile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pas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cas de troubles psychiques, la décision de placement à des fins d’assistance doit être prise sur la base d’un rapport d’expertise (art. 450e al. 3 CC). Dans son rapport, l’expert doit se prononcer sur l’état de santé de l’intéressé. Il doit notamment indiquer en quoi les éventuels troubles psychiques risquent de mettre en danger la vie de la personne concernée ou son intégrité personnelle, respectivement celle d’autrui, et si cela entraîne chez lui la nécessité d’être assisté ou de prendre un traitement (ATF 137 III 289 consid. 4.5 p. 292 ss ;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mise en danger concrète : arrêts 5A_288/2011 du 19 mai 2011 consid. 5.3 ; 5A_312/2007 du 10 juillet 2007</w:t>
      </w:r>
    </w:p>
    <w:p>
      <w:r>
        <w:t>- 8/10 -</w:t>
      </w:r>
    </w:p>
    <w:p>
      <w:r>
        <w:t>C/17657/2016-CS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 à propos de la notion d’institution « appropriée » ; ATF 112 II 486 consid. 4c p. 490 ; 114 II 213 consid. 7 p. 218 s.).</w:t>
      </w:r>
    </w:p>
    <w:p>
      <w:r>
        <w:rPr>
          <w:b/>
        </w:rPr>
        <w:t>E. 2.2</w:t>
      </w:r>
    </w:p>
    <w:p>
      <w:r>
        <w:t>En l’espèce, le recourant est connu de longue date pour des troubles psychiques qui l’ont conduit en 2000 à adopter un comportement hétéro-agressif majeur sur la personne de sa mère, lequel a mis en évidence qu’il souffrait d’un trouble de schizophrénie paranoïde. L’expert, dans son rapport du 16 mars 2020, a confirmé le diagnostic de schizophrénie paranoïde, laquelle était assortie d’une composante maniaque, ce qui a été confirmé dans le second rapport d’expertise du 25 mars 2020. A son entrée à la clinique B______, le recourant, suivi en ambulatoire depuis sa dernière hospitalisation en 2016, était en rupture de traitement depuis la fin de l’année 2019 et se trouvait en état de grave décompensation. Il représentait un danger tant pour autrui que pour lui-même et était totalement anosognosique de son état. Ainsi, son hospitalisation en mode non volontaire était justifiée au moment de son admission et nécessitait d’être poursuivie jusqu’à l’amoindrissement de ses symptômes. Il fallait également, selon l’expert K______, travailler ensuite, dans un premier temps, sa compliance aux traitements puis, dans un second temps, sa compliance à une reprise d’un suivi ambulatoire. Le Dr L______, a confirmé, lors de son audition par le Tribunal de protection du 24 mars 2020, la nécessité de la poursuite du placement à des fins d’assistance du recourant, compte tenu du peu d’amélioration de son état, de sa non compliance au traitement et des risques hétéro-agressifs toujours présents. Le placement du recourant était donc justifié au moment où il a été hospitalisé. De même, l’était-il toujours au moment où le Tribunal de protection a statué, l’état du recourant ne s’étant que très peu amélioré en raison du manque d’adhésion aux traitements proposés par les médecins et du risque hétéro-agressif persistant, même à l’égard du personnel soignant. Depuis lors, il ressort des explications fournies à la Chambre de surveillance par le Dr L______ en date du 7 avril 2020 que l’état du recourant s’est amélioré par la prise régulière du traitement de N______ 30 mg per os, lequel offre une efficacité satisfaisante, sans toutefois être complète, le recourant refusant la prise de tout autre traitement. Des symptômes résiduels persistent, notamment des idées de persécution envers sa famille. Si certes un traitement ambulatoire pourrait être mis en place selon les explications du médecin, ce traitement devrait être adapté et</w:t>
      </w:r>
    </w:p>
    <w:p>
      <w:r>
        <w:t>- 9/10 -</w:t>
      </w:r>
    </w:p>
    <w:p>
      <w:r>
        <w:t>C/17657/2016-CS régulier, et de préférence administré sous forme dépôt afin de réduire tout nouveau risque d’arrêt du traitement, et assorti d’un suivi psychiatrique. Or, la Chambre de céans relève que le recourant se montre toujours réticent à prendre son traitement per os, refuse toute prescription d’un autre médicament, s’oppose à recevoir son traitement sous forme dépôt, rejette l’idée de la prise d’une médication à long terme et refuse d’être suivi par un médecin psychiatre du CAPPI, sans proposer d’autre thérapeute. Ce faisant, le recourant n’a manifestement pas pris conscience de ce que le suivi sur le long terme de son traitement, selon les modalités préconisées par les médecins, et une prise en charge régulière par un psychiatre permettraient que son état se stabilise de manière durable, et éviteraient la survenue de nouvelles décompensations. Il est ainsi à craindre qu’en cas de sortie prématurée, le recourant, qui indique vouloir quitter Genève pour s’installer dans un autre canton, renonce à tout suivi psychiatrique et arrête son traitement médicamenteux. En effet, bien que son état se soit amélioré, sa compliance au traitement administré est encore trop fragile pour qu’il soit envisageable de permettre à l’intéressé de quitter la Clinique B______. Sa compliance à une reprise d’un suivi ambulatoire, estimée nécessaire par l’expert avant de pouvoir lever la mesure de placement, n’est par ailleurs aucunement acquise. Compte tenu des risques hétéro-agressifs importants, avec possibilité d’un passage à l’acte sur autrui en cas d’arrêt de son traitement, il est nécessaire d’obtenir, outre une amélioration et une stabilisation de l’état du recourant sur une plus longue durée, une parfaite adhésion à son traitement médicamenteux et à son suivi ambulatoire, qui devra être mis en place par la clinique avant d'envisager une sortie, pour s’assurer d’une prise en charge adéquate du recourant à l'extérieur et minimiser les risques de rechute. Au vu de ce qui précède, le placement à des fins d’assistance du recourant est toujours nécessaire et l’établissement dans lequel il se trouve est approprié, de sorte que le recours sera rejeté.</w:t>
      </w:r>
    </w:p>
    <w:p>
      <w:r>
        <w:rPr>
          <w:b/>
        </w:rPr>
        <w:t>E. 3</w:t>
      </w:r>
    </w:p>
    <w:p>
      <w:r>
        <w:t>La procédure est gratuite (art. 22 al. 4 LaCC). * * * * *</w:t>
      </w:r>
    </w:p>
    <w:p>
      <w:r>
        <w:t>- 10/10 -</w:t>
      </w:r>
    </w:p>
    <w:p>
      <w:r>
        <w:t>C/17657/2016-CS PAR CES MOTIFS, La Chambre de surveillance : A la forme : Déclare recevable le recours formé le 26 mars 2020 par A______ contre la décision DTAE/1668/2020 rendue le 24 mars 2020 par le Tribunal de protection de l’adulte et de l’enfant dans la cause C/17657/2016. Au fond : Le rejette. Dit que la procédure est gratuite. Siégeant : Madame Jocelyne DEVILLE-CHAVANNE, présidente ad interim; Mesdames Sylvie DROIN et Pauline ERARD,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