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DAS/49/2025 vom 7. November 2024</w:t>
      </w:r>
    </w:p>
    <w:p>
      <w:r>
        <w:t>GE Cour de justice, 2024-11-07, FR</w:t>
      </w:r>
    </w:p>
    <w:p>
      <w:r>
        <w:rPr>
          <w:b/>
        </w:rPr>
        <w:t xml:space="preserve">Quelle: </w:t>
      </w:r>
      <w:r>
        <w:t>https://mcp.opencaselaw.ch/entscheid/ge_gerichte_DAS_49_2025</w:t>
      </w:r>
    </w:p>
    <w:p>
      <w:r>
        <w:t>FR: GE_GERICHTE DAS/49/2025 du 7 novembre 2024</w:t>
      </w:r>
    </w:p>
    <w:p>
      <w:r>
        <w:t>IT: GE_GERICHTE DAS/49/2025 del 7 novembre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La décision attaquée, rendue sur le fond, consiste en la simple apposition d'un timbre humide sur un rapport du SPMI; elle ne contient par conséquent ni état de fait, ni motivation, ce qui, en principe, devrait conduire à son annulation et au renvoi de la cause au Tribunal de protection (voir notamment DAS/297/2024 du 11 décembre 2024).</w:t>
      </w:r>
    </w:p>
    <w:p>
      <w:r>
        <w:t>Dans la présente affaire et de manière exceptionnelle, il ne sera pas procédé de la sorte, compte tenu de l'absence de substance du recours lui-même, qui doit conduire à son rejet conformément à ce qui va suivre.</w:t>
      </w:r>
    </w:p>
    <w:p>
      <w:r>
        <w:rPr>
          <w:b/>
        </w:rPr>
        <w:t>E. 3</w:t>
      </w:r>
    </w:p>
    <w:p>
      <w:r>
        <w:t>La recourante ne conteste pas le droit de visite accordé à B______ sur la mineure G______; seul le droit de visite sur l'enfant F______ est remis en cause.</w:t>
      </w:r>
    </w:p>
    <w:p>
      <w:r>
        <w:t>3.1.1 Le père ou la mère qui ne détient pas l'autorité parentale ou la garde ainsi que l'enfant mineur ont réciproquement le droit d'entretenir les relations personnelles indiquées par les circonstances (art. 273 al. 1 CC).</w:t>
      </w:r>
    </w:p>
    <w:p>
      <w:r>
        <w:t>- 10/13 -</w:t>
      </w:r>
    </w:p>
    <w:p>
      <w:r>
        <w:t>C/20814/2019-CS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w:t>
      </w:r>
    </w:p>
    <w:p>
      <w:r>
        <w:t>- 11/13 -</w:t>
      </w:r>
    </w:p>
    <w:p>
      <w:r>
        <w:t>C/20814/2019-CS danger paraît pouvoir être écarté autrement que par un retrait pur et simple du droit (MEIER/STETTLER, op. cit. n. 1015). Le juge dispose d'un large pouvoir d'appréciation dans la fixation du droit de visite (ATF 122 III 404 consid. 3d = JdT 1998 I 46).</w:t>
      </w:r>
    </w:p>
    <w:p>
      <w:r>
        <w:rPr>
          <w:b/>
        </w:rPr>
        <w:t>E. 3.2</w:t>
      </w:r>
    </w:p>
    <w:p>
      <w:r>
        <w:t>Selon la recourante, le droit de visite du père sur le mineur F______ ne devait pas évoluer tant et aussi longtemps que la procédure pénale serait pendante et qu'aucune décision n'aurait été rendue. La recourante semble toutefois perdre de vue que par arrêt du 23 avril 2023, la Chambre pénale d'appel et de révision n'a retenu, à la charge de B______, aucun fait de violence à l'encontre de ses enfants et qu'il a été acquitté du chef de violation du devoir d'assistance ou d'éducation. Aucun élément concret ne permet par conséquent de retenir que le mineur F______ risquerait d'être maltraité par son père. En ce qui concerne la seconde procédure pénale ouverte à l'encontre de B______, elle ne concerne pas l'enfant F______ mais sa sœur G______, de sorte que la recourante ne saurait s'en prévaloir pour s'opposer à l'élargissement du droit de visite du père sur son fils. Pour le surplus, il sera relevé que depuis le 2 février 2023, soit depuis deux ans désormais, le père a été autorisé à exercer son droit de visite sur son fils F______ en dehors du foyer et sans la supervision d'un éducateur. Il ressort également du dossier que le mineur se rend désormais chez son père et revient satisfait de ces visites, aucun incident n'ayant été rapporté par la mère ou par les nombreux intervenants qui entourent l'enfant. Le père a en outre, selon ce qui ressort du rapport du SPMI du 1er février 2023, bénéficié d'une formation au sein du Service de diabétologie des HUG, de sorte qu'il a été informé de la manière de gérer cette maladie et des risques qu'elle comporte. Le même rapport dépeint par ailleurs un père ponctuel dans ses visites et attentif aux besoins de ses enfants. Dans son rapport du 30 septembre 2024, le SPMI a certes indiqué qu'un important travail d'étayage et de guidance parentale restait à faire auprès de B______, même s'il se montrait investi et évoluait progressivement; une nouvelle intervention éducative à son domicile avait par conséquent été demandée, pour quatre séances supplémentaires, dont le dossier ne permet pas de déterminer si elles ont pu, ou pas, être organisées. Le SPMI relevait toutefois, dans ce même rapport, que selon l'équipe éducative du foyer, le mineur F______ ne serait pas en danger auprès de son père durant une nuit hebdomadaire, de sorte que le droit de visite pouvait être élargi dans cette mesure. Dans ses observations au recours, le SPMI a par ailleurs conclu à la confirmation de la décision attaquée, laquelle, contrairement à ce qu'a soutenu la recourante, n'est pas en contradiction avec les conclusions de l'expertise. Il sera en effet rappelé que selon les experts, le droit de visite du père pouvait être élargi progressivement, à commencer par une nuit avec chaque enfant à son domicile et un temps hebdomadaire en extérieur avec les</w:t>
      </w:r>
    </w:p>
    <w:p>
      <w:r>
        <w:t>- 12/13 -</w:t>
      </w:r>
    </w:p>
    <w:p>
      <w:r>
        <w:t>C/20814/2019-CS deux enfants. Ainsi, le droit de visite contesté par la recourante s'inscrit dans les modalités progressives préconisées par les experts. Enfin, le fait que le père exerce, en l'état, un droit de visite différent sur ses deux enfants n'est certes pas idéal, étant toutefois relevé que cette situation perdure depuis un certain temps déjà, de sorte que les mineurs ont eu le temps de s'y habituer. Les modalités des relations personnelles correspondent à la situation et à l'intérêt individuel de chacun des enfants, de sorte qu'elles ne sauraient faire obstacle à l'élargissement du droit de visite du père sur son fils. Infondé, le recours sera rejeté.</w:t>
      </w:r>
    </w:p>
    <w:p>
      <w:r>
        <w:rPr>
          <w:b/>
        </w:rPr>
        <w:t>E. 4</w:t>
      </w:r>
    </w:p>
    <w:p>
      <w:r>
        <w:t>La procédure, qui porte sur les relations personnelles, n'est pas gratuite (art. 77, 81 al. 1 a contrario LaCC; art. 67A et 67B RTFMC). Les frais judiciaires de recours seront arrêtés à 400 fr. et mis à la charge de la recourante, qui succombe (art. 107 al. 1 CPC). Ils seront provisoirement supportés par l'Etat de Genève, compte tenu du bénéfice de l'assistance judiciaire.</w:t>
      </w:r>
    </w:p>
    <w:p>
      <w:r>
        <w:t>Compte tenu de la nature familiale du litige, il n'y a pas lieu à l'allocation de dépens (art. 107 al. 1 let. c CPC). * * * * *</w:t>
      </w:r>
    </w:p>
    <w:p>
      <w:r>
        <w:t>- 13/13 -</w:t>
      </w:r>
    </w:p>
    <w:p>
      <w:r>
        <w:t>C/20814/2019-CS PAR CES MOTIFS, La Chambre de surveillance : A la forme : Déclare recevable le recours formé par A______ contre la décision DTAE/7385/2024 rendue le 9 octobre 2024 par le Tribunal de protection de l'adulte et de l'enfant dans la cause C/20814/2019. Au fond : Le rejette. Déboute les parties de toutes autres conclusions. Sur les frais : Arrête les frais judiciaires de la procédure de recours à 400 fr., les met à la charge de A______ et dit qu'ils sont provisoirement supportés par l'Etat de Genève. Dit qu'il n'est pas alloué de dépens.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