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DAS/47/2023 vom 12. März 2018</w:t>
      </w:r>
    </w:p>
    <w:p>
      <w:r>
        <w:t>GE Cour de justice, 2018-03-12, FR</w:t>
      </w:r>
    </w:p>
    <w:p>
      <w:r>
        <w:rPr>
          <w:b/>
        </w:rPr>
        <w:t xml:space="preserve">Quelle: </w:t>
      </w:r>
      <w:r>
        <w:t>https://mcp.opencaselaw.ch/entscheid/ge_gerichte_DAS_47_2023</w:t>
      </w:r>
    </w:p>
    <w:p>
      <w:r>
        <w:t>FR: GE_GERICHTE DAS/47/2023 du 12 mars 2018</w:t>
      </w:r>
    </w:p>
    <w:p>
      <w:r>
        <w:t>IT: GE_GERICHTE DAS/47/2023 del 12 marzo 2018</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dans le délai utile de trente jours et suivant la forme prescrite, le recours est recevable (art. 450 al. 2 et</w:t>
      </w:r>
    </w:p>
    <w:p>
      <w:r>
        <w:rPr>
          <w:b/>
        </w:rPr>
        <w:t>E. 1.2</w:t>
      </w:r>
    </w:p>
    <w:p>
      <w:r>
        <w:t>Compte tenu de la matière, soumise aux maximes inquisitoire et d'office illimitée, la cognition de la Chambre de surveillance est complète. Elle n'est pas liée par les conclusions des parties (art. 446 CC). 2. La recourante conteste la modalité « accueil » prévue pour l’exercice du droit de visite du père, en lieu et place de la modalité « un pour un ».</w:t>
      </w:r>
    </w:p>
    <w:p>
      <w:r>
        <w:t>- 8/11 -</w:t>
      </w:r>
    </w:p>
    <w:p>
      <w:r>
        <w:t>C/8187/2019-CS 2.1.1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2.1.2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5P_131/2006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5C_244.2001, 5C_58/2004; Kantonsgericht SG in RDT 2000 p. 204; VEZ, Le droit de visite, problèmes récurrents, in Enfant et divorce, 2006 p. 122 et réf. citées; MEIER/STETTLER, Droit de la filiation, 6ème éd. n. 1014 ss). Pour imposer de telles modalités (en particulier un droit de visite accompagné), il faut également des indices concrets de mise en danger du bien de l'enfant (il ne suffit pas que celui-ci risque abstraitement de subir une mauvaise influence): la différence réside uniquement dans le fait que ce danger paraît pouvoir être écarté</w:t>
      </w:r>
    </w:p>
    <w:p>
      <w:r>
        <w:t>- 9/11 -</w:t>
      </w:r>
    </w:p>
    <w:p>
      <w:r>
        <w:t>C/8187/2019-CS autrement que par un retrait pur et simple du droit (MEIER/STETTLER, op. cit. n. 1015). Le juge dispose d'un large pouvoir d'appréciation dans la fixation du droit de visite (ATF 122 III 404 consid. 3d = JdT 1998 I 46). 2.2 En l’espèce, le père exerce un droit de visite sur sa fille G______ depuis de nombreux mois au sein du Point rencontre, en modalité « un pour un », soit en présence d’un intervenant. Le maintien de modalités aussi strictes et contraignantes doit être justifié par un risque manifeste pour l’intérêt de l’enfant. S’il a certes été retenu que le père a pu, par le passé, infliger des sanctions physiques à ses deux filles aînées, tel n’a pas été le cas pour G______. Celle-ci n’a dès lors pas, à l’égard de son père, les mêmes appréhensions que ses deux sœurs. Il ressort au contraire du rapport du Service de protection des mineurs du 17 mars 2021 déjà, confirmé par celui du 20 juin 2022, que leurs relations se déroulaient bien, que la mineure acceptait les gestes affectueux et les sollicitations de son père et qu’elle parlait facilement de son quotidien. Dès lors, la seule crainte est que le père tienne, en présence de l’enfant, des propos inadéquats au sujet de la recourante, ce qui ne peut certes être totalement exclu compte tenu des relations délétères que les parties continuent d’entretenir, en dépit de l’écoulement du temps. Le droit de visite ne saurait toutefois, pour ce seul motif, continuer à être exercé indéfiniment en présence d’un intervenant. Il ressort par ailleurs du dernier rapport du Service de protection des mineurs que B______ s’est montré capable d’éviter, tout au long des visites, exercées régulièrement depuis de nombreux mois, tout commentaire ou questionnement sur la recourante. La présence d’un intervenant a sans doute contribué à le dissuader de tenir de tels propos ; le comportement de B______ permet toutefois également de retenir qu’il est capable de maîtriser ses propos. Il sera en outre rappelé que le Tribunal de protection a prévu que le droit de visite soit désormais exercé en modalité « accueil », ce qui signifie que père et fille continueront à se voir au sein du Point rencontre. Les intervenants pourront ainsi facilement relever, au terme des visites, si l’enfant devait se montrer perturbée ou si son attitude à l’égard de son père devait se modifier. Le Service de protection des mineurs en serait alors informé et pourrait intervenir auprès du Tribunal de protection, qui procéderait à une nouvelle évaluation de la pertinence des modalités de l’exercice du droit de visite. Il ressort de ce qui précède que l’exercice d’un droit de visite au sein du Point rencontre, en modalité « accueil », ne représente pas un danger pour la mineure. Sur ce point, l’avis du pédiatre versé à la procédure par la recourante ne paraît pas déterminant, dans la mesure où il se contente d’émettre un préavis négatif, sans fournir la moindre explication utile et motivée sur les raisons de ce préavis, en renvoyant au « contexte général » et à « l’examen de l’enfant », dont on ignore ce qu’il aurait révélé.</w:t>
      </w:r>
    </w:p>
    <w:p>
      <w:r>
        <w:t>- 10/11 -</w:t>
      </w:r>
    </w:p>
    <w:p>
      <w:r>
        <w:t>C/8187/2019-CS Au vu de ce qui précède, le recours apparaît infondé et sera rejeté sur la question des modalités du droit de visite.</w:t>
      </w:r>
    </w:p>
    <w:p>
      <w:r>
        <w:rPr>
          <w:b/>
        </w:rPr>
        <w:t>E. 3</w:t>
      </w:r>
    </w:p>
    <w:p>
      <w:r>
        <w:t>La recourante a également conclu à l’annulation du chiffre 2 du dispositif de l’ordonnance attaquée.</w:t>
      </w:r>
    </w:p>
    <w:p>
      <w:r>
        <w:rPr>
          <w:b/>
        </w:rPr>
        <w:t>E. 3.1</w:t>
      </w:r>
    </w:p>
    <w:p>
      <w:r>
        <w:t>La motivation est une condition de recevabilité de l’appel et du recours, prévue par la loi, qui doit être examinée d'office (arrêts du Tribunal fédéral 5A_438/2012 du 27 août 2012 consid. 2.2 et 2.4; 4A_651/2012 du 7 février 2013 consid. 4.2; 4A_659/2011 du 7 décembre 2011 consid. 3).</w:t>
      </w:r>
    </w:p>
    <w:p>
      <w:r>
        <w:rPr>
          <w:b/>
        </w:rPr>
        <w:t>E. 3.2</w:t>
      </w:r>
    </w:p>
    <w:p>
      <w:r>
        <w:t>En l'espèce, la recourante s’est contentée de motiver son recours en tant qu’il porte sur la question des modalités du droit de visite du père sur la mineure G______. Elle n’a en revanche pas exposé pour quels motifs l’ordonnance attaquée serait critiquable en tant qu’elle a exhorté les deux parents à entreprendre une médiation auprès du Collectif interculturel de médiation. Le recours est par conséquent irrecevable sur ce point. Quoiqu’il en soit, la position adoptée par la recourante est contradictoire, voire teintée de mauvaise foi, dans la mesure où elle a, à plusieurs reprises, appelé de ses vœux une médiation (notamment rapport du Service de protection des mineurs du 20 juin 2022, audience devant le Tribunal de protection du 29 septembre 2022). Il est par conséquent pour le moins incohérent qu’elle conclue à l’annulation du chiffre 2 du dispositif de l’ordonnance attaquée, par lequel le Tribunal de protection a exhorté les deux parties à s’engager dans un processus de médiation.</w:t>
      </w:r>
    </w:p>
    <w:p>
      <w:r>
        <w:rPr>
          <w:b/>
        </w:rPr>
        <w:t>E. 4</w:t>
      </w:r>
    </w:p>
    <w:p>
      <w:r>
        <w:t>La procédure, qui porte essentiellement sur les modalités d’exercice du droit de visite, n’est pas gratuite (art. 54, 67 A et B RTFMC).</w:t>
      </w:r>
    </w:p>
    <w:p>
      <w:r>
        <w:t>L’émolument sera fixé à 400 fr. et mis à la charge de la recourante, qui succombe. Il sera provisoirement supporté par l’Etat de Genève, compte tenu du bénéfice de l’assistance judiciaire.</w:t>
      </w:r>
    </w:p>
    <w:p>
      <w:r>
        <w:t>Compte tenu de la nature familiale du litige, chaque partie supportera ses propres dépens de recours (art. 107 al. 1 let. c CPC). * * * * *</w:t>
      </w:r>
    </w:p>
    <w:p>
      <w:r>
        <w:t>- 11/11 -</w:t>
      </w:r>
    </w:p>
    <w:p>
      <w:r>
        <w:t>C/8187/2019-CS PAR CES MOTIFS, La Chambre de surveillance : A la forme : Déclare recevable le recours formé par A______ contre l’ordonnance DTAE/7407/2022 rendue le 29 septembre 2022 par le Tribunal de protection de l’adulte et de l’enfant dans la cause C/8187/2019. Au fond : Le rejette. Sur les frais : Arrête l’émolument de décision à 400 fr., le met à la charge de A______ et dit qu’il est provisoirement pris en charge par l’Etat de Genève. Dit qu’il n’est pas alloué de dépens.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