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DAS/45/2019 vom 20. Dezember 2018</w:t>
      </w:r>
    </w:p>
    <w:p>
      <w:r>
        <w:t>GE Cour de justice, 2018-12-20, FR</w:t>
      </w:r>
    </w:p>
    <w:p>
      <w:r>
        <w:rPr>
          <w:b/>
        </w:rPr>
        <w:t xml:space="preserve">Quelle: </w:t>
      </w:r>
      <w:r>
        <w:t>https://mcp.opencaselaw.ch/entscheid/ge_gerichte_DAS_45_2019</w:t>
      </w:r>
    </w:p>
    <w:p>
      <w:r>
        <w:t>FR: GE_GERICHTE DAS/45/2019 du 20 décembre 2018</w:t>
      </w:r>
    </w:p>
    <w:p>
      <w:r>
        <w:t>IT: GE_GERICHTE DAS/45/2019 del 20 dicembre 2018</w:t>
      </w:r>
    </w:p>
    <w:p>
      <w:pPr>
        <w:pStyle w:val="Heading2"/>
      </w:pPr>
      <w:r>
        <w:t>Erwägungen</w:t>
      </w:r>
    </w:p>
    <w:p>
      <w:r>
        <w:rPr>
          <w:b/>
        </w:rPr>
        <w:t>E. 1.1</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tous temps (JEANDIN, Code de procédure civile commenté, 2011, BOHNET/HALDY/JEANDIN/SCHWEIZER/ TAPPY ad art. 319 n. 14).</w:t>
      </w:r>
    </w:p>
    <w:p>
      <w:r>
        <w:t>L'ordonnance querellée, qui ordonne l'expertise psychiatrique de la personne concernée, est une ordonnance d'instruction selon la définition rappelée ci-dessus.</w:t>
      </w:r>
    </w:p>
    <w:p>
      <w:r>
        <w:rPr>
          <w:b/>
        </w:rPr>
        <w:t>E. 1.2</w:t>
      </w:r>
    </w:p>
    <w:p>
      <w:r>
        <w:t>Le Code civil ne prévoit aucune disposition particulière concernant les recours dirigés contre les ordonnances d'instruction rendues par le Tribunal de protection, de sorte qu'il convient de se référer au Code de procédure civile (CPC), à moins que les cantons aient fait usage de leur compétence de légiférer en la matière (REUSSER, Basler Kommentar, Erwachsenenschutz, GEISER/REUSSER ad art. 450b CC n. 8).</w:t>
      </w:r>
    </w:p>
    <w:p>
      <w:r>
        <w:t>Les ordonnances d'instruction sont susceptibles d'un recours dans les dix jours (DAS/43/2015; art. 31 al. 1 let. c LaCC; 321 al. 2 CPC).</w:t>
      </w:r>
    </w:p>
    <w:p>
      <w:r>
        <w:t>Le recours doit être formé devant la Chambre de surveillance de la Cour de justice (art. 53 al. 1 LaCC).</w:t>
      </w:r>
    </w:p>
    <w:p>
      <w:r>
        <w:t>- 7/9 -</w:t>
      </w:r>
    </w:p>
    <w:p>
      <w:r>
        <w:t>C/23768/2017-CS</w:t>
      </w:r>
    </w:p>
    <w:p>
      <w:r>
        <w:t>En l'espèce, le recours a été formé (à tout le moins formellement) par la personne concernée par l'ordonnance attaquée, dans le délai utile, selon les formes prévues par la loi et devant l'autorité compétente; il est, de ce point de vue, recevable. Point n'est besoin de déterminer plus précisément si la recourante est bien l'auteur du recours, au vu de ce qui suit.</w:t>
      </w:r>
    </w:p>
    <w:p>
      <w:r>
        <w:rPr>
          <w:b/>
        </w:rPr>
        <w:t>E. 1.3</w:t>
      </w:r>
    </w:p>
    <w:p>
      <w:r>
        <w:t>Contre les ordonnances d'instruction, le recours n'est recevable que lorsque la décision peut causer un préjudice difficilement réparable (art. 319 let. b ch. 2 CPC, par renvoi de l'art. 450f CC; arrêts du Tribunal fédéral 5A_171/2015 du 20 avril 2015 consid. 6.1 et 5D_100/2014 du 19 septembre 2014 consid. 1.1; DAS/19/2016 du 21 janvier 2016). Dans un arrêt 5A_655/2013 du 29 octobre 2013 consid. 2.3, le Tribunal fédéral a retenu qu'une ordonnance d'expertise était toujours susceptible de causer un préjudice difficilement réparable. Au vu de ce qui précède, le recours, en tant qu'il est dirigé contre une ordonnance préparatoire qui ordonne une expertise psychiatrique, est recevable.</w:t>
      </w:r>
    </w:p>
    <w:p>
      <w:r>
        <w:rPr>
          <w:b/>
        </w:rPr>
        <w:t>E. 2</w:t>
      </w:r>
    </w:p>
    <w:p>
      <w:r>
        <w:t>2.1.1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2.1.2 La LaCC prévoit à ses art. 43 ss des règles particulières quant à l'expertise ordonnée devant le Tribunal de protection. Ainsi, pour s'éclairer sur une question de fait qui requiert l'avis d'un spécialiste, le Tribunal de protection peut ordonner une expertise confiée à un ou à plusieurs experts (art. 44 al. 1 LaCC). Après avoir entendu les parties, le Tribunal de protection désigne l'expert et fixe l'objet de sa mission (art. 45 al. 1 LaCC).</w:t>
      </w:r>
    </w:p>
    <w:p>
      <w:r>
        <w:rPr>
          <w:b/>
        </w:rPr>
        <w:t>E. 2.2</w:t>
      </w:r>
    </w:p>
    <w:p>
      <w:r>
        <w:t>Il ressort du dossier que la recourante, très âgée, vit avec son fils dans un appartement vétuste qui était, à la fin de l'année 2017, tellement encombré que la question de son caractère habitable se pose. La procédure a également permis de déterminer que la recourante souffre à tout le moins de problèmes d'ouïe et qu'elle fait l'objet de poursuites, quand bien même elle bénéficie de revenus confortables. Le curateur nommé d'office dans le cadre de la présente procédure a par ailleurs fait état de l'existence probable de troubles cognitifs. Il existe par conséquent des doutes fondés sur la capacité de la recourante à sauvegarder ses intérêts et sur son besoin de protection.</w:t>
      </w:r>
    </w:p>
    <w:p>
      <w:r>
        <w:t>La recourante vit certes avec l'un de ses fils, qui a affirmé aider sa mère dans son quotidien et dans la gestion de ses affaires administratives. Le fait que la recourante fasse l'objet de poursuites et qu'elle vive dans un environnement qui</w:t>
      </w:r>
    </w:p>
    <w:p>
      <w:r>
        <w:t>- 8/9 -</w:t>
      </w:r>
    </w:p>
    <w:p>
      <w:r>
        <w:t>C/23768/2017-CS paraît insalubre permet toutefois de douter de l'efficacité des mesures prises par F______ et de sa capacité à s'occuper de manière adéquate de la recourante, dont il dépend par ailleurs entièrement sur le plan financier, ce qui est susceptible d'engendrer un conflit d'intérêts entre les siens propres et ceux de sa mère.</w:t>
      </w:r>
    </w:p>
    <w:p>
      <w:r>
        <w:t>Les éléments qui précèdent justifient par conséquent que la situation médicale et personnelle de la recourante fasse l'objet d'investigations, afin de déterminer si une mesure de curatelle est, ou pas, nécessaire et le cas échéant quel type de curatelle serait approprié.</w:t>
      </w:r>
    </w:p>
    <w:p>
      <w:r>
        <w:t>Le Tribunal de protection a donné la possibilité à la recourante de se déterminer et de produire toutes pièces utiles concernant notamment sa santé. Or, la recourante a adopté, depuis le début de la procédure, une attitude fuyante: elle ne s'est rendue à aucune audience devant le Tribunal de protection, n'a plus donné de nouvelles au Service de protection de l'adulte depuis le mois de juillet 2018, refuse de répondre au téléphone, aux courriers, ou lorsque quelqu'un se présente à sa porte. Son lieu de vie actuel est par ailleurs inconnu, puisqu'il semble qu'elle séjourne par moments en Belgique, ce que sa sœur, domiciliée dans ce pays, met toutefois en doute. Il n'est par ailleurs pas certain qu'elle soit l'auteur des courriers adressés au Tribunal de protection et du recours formé devant la Chambre de surveillance, étant relevé que les signatures qui apparaissent sur ces différents documents ne sont pas identiques et que l'écriture de l'un des courriers ne paraît pas être celle d'une personne âgée. La recourante n'a enfin produit qu'un certificat médical du 31 décembre 2017, qui mentionne certes qu'elle est orientée dans le temps et l'espace et qu'elle ne présente pas de trouble de la mémoire. Ce certificat date toutefois de plus d'un an et les circonstances de sa rédaction sont inconnues. Il n'est ainsi pas établi qu'il a été rédigé après un examen approfondi de la patiente, par un médecin qui la connaissait, de sorte que la force probante de son contenu doit être relativisée.</w:t>
      </w:r>
    </w:p>
    <w:p>
      <w:r>
        <w:t>Ainsi et compte tenu de ce qui précède, le Tribunal de protection n'avait pas d'autre moyen, moins intrusif qu'une expertise, pour investiguer la situation personnelle et médicale de la recourante.</w:t>
      </w:r>
    </w:p>
    <w:p>
      <w:r>
        <w:t>Le recours, infondé, sera par conséquent rejeté.</w:t>
      </w:r>
    </w:p>
    <w:p>
      <w:r>
        <w:rPr>
          <w:b/>
        </w:rPr>
        <w:t>E. 3</w:t>
      </w:r>
    </w:p>
    <w:p>
      <w:r>
        <w:t>Vu l'issue du recours, les frais, arrêtés à 400 fr. (art. 67A et B du Règlement fixant le tarif des frais en matière civile), seront mis à la charge de la recourante, qui succombe. Ils seront compensés avec l'avance de frais versée, qui reste acquise à l'Etat de Genève (art. 111 al. 1 CPC).</w:t>
      </w:r>
    </w:p>
    <w:p>
      <w:r>
        <w:t>* * * * *</w:t>
      </w:r>
    </w:p>
    <w:p>
      <w:r>
        <w:t>- 9/9 -</w:t>
      </w:r>
    </w:p>
    <w:p>
      <w:r>
        <w:t>C/23768/2017-CS PAR CES MOTIFS, La Chambre de surveillance : Rejette en tant que recevable le recours formé le 20 décembre 2018 par A______ contre l'ordonnance DTAE/7181/2018 rendue le 22 novembre 2018 par le Tribunal de protection de l'adulte et de l'enfant dans la cause C/23768/2017-3. Arrête les frais de recours à 400 fr., les met à la charge de A______ et les compense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