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DAS/37/2022 vom 14. Februar 2022</w:t>
      </w:r>
    </w:p>
    <w:p>
      <w:r>
        <w:t>GE Cour de justice, 2022-02-14, FR</w:t>
      </w:r>
    </w:p>
    <w:p>
      <w:r>
        <w:rPr>
          <w:b/>
        </w:rPr>
        <w:t xml:space="preserve">Quelle: </w:t>
      </w:r>
      <w:r>
        <w:t>https://mcp.opencaselaw.ch/entscheid/ge_gerichte_DAS_37_2022</w:t>
      </w:r>
    </w:p>
    <w:p>
      <w:r>
        <w:t>FR: GE_GERICHTE DAS/37/2022 du 14 février 2022</w:t>
      </w:r>
    </w:p>
    <w:p>
      <w:r>
        <w:t>IT: GE_GERICHTE DAS/37/2022 del 14 febbraio 2022</w:t>
      </w:r>
    </w:p>
    <w:p>
      <w:pPr>
        <w:pStyle w:val="Heading2"/>
      </w:pPr>
      <w:r>
        <w:t>Erwägungen</w:t>
      </w:r>
    </w:p>
    <w:p>
      <w:r>
        <w:rPr>
          <w:b/>
        </w:rPr>
        <w:t>E. 1</w:t>
      </w:r>
    </w:p>
    <w:p>
      <w:r>
        <w:t>1.1 Les décisions du juge de paix, qui relèvent de la juridiction gracieuse et sont soumises à la procédure sommaire (art. 248 let. e CPC), sont susceptibles d'un appel auprès de la Chambre civile de la Cour de justice (art. 120 al. 2 LOJ) dans le délai de dix jours (art. 314 al. 1 CPC) si la valeur litigieuse est égale ou supérieure à 10'000 fr. (art. 308 al. 2 CPC). Ces décisions sont de nature pécuniaire (arrêts du Tribunal fédéral 5A_797/2017 du 22 mars 2018 consid. 1; 5A_725/2010 du 12 mai 2011 consid. 1.2).</w:t>
      </w:r>
    </w:p>
    <w:p>
      <w:r>
        <w:rPr>
          <w:b/>
        </w:rPr>
        <w:t>E. 1.2</w:t>
      </w:r>
    </w:p>
    <w:p>
      <w:r>
        <w:t>En l’espèce, la succession comprend des biens immobiliers de sorte que la valeur litigieuse étant supérieure à 10'000 fr., la voie de l’appel est ouverte. Interjeté en temps utile et selon la forme prescrite (art. 311 al. 1 CPC) par l’un des héritiers de la succession, l’appel est recevable.</w:t>
      </w:r>
    </w:p>
    <w:p>
      <w:r>
        <w:rPr>
          <w:b/>
        </w:rPr>
        <w:t>E. 1.3</w:t>
      </w:r>
    </w:p>
    <w:p>
      <w:r>
        <w:t>Le juge établit les faits d'office (maxime inquisitoire, art. 255 let. b CPC). Les moyens de preuve sont limités à ceux qui sont immédiatement disponibles (HOHL, Procédure civile, tome II, 2ème éd., 2010, n. 1556, p. 283). La cognition</w:t>
      </w:r>
    </w:p>
    <w:p>
      <w:r>
        <w:t>- 7/10 -</w:t>
      </w:r>
    </w:p>
    <w:p>
      <w:r>
        <w:t>Error! Reference source not found. du juge, qui revoit la cause en fait et en droit (art. 310 CPC), est limitée à la simple vraisemblance des faits et à un examen sommaire du droit (HOHL, op. cit., n. 1072 et 1554 et ss, p. 198 et 282).</w:t>
      </w:r>
    </w:p>
    <w:p>
      <w:r>
        <w:rPr>
          <w:b/>
        </w:rPr>
        <w:t>E. 2</w:t>
      </w:r>
    </w:p>
    <w:p>
      <w:r>
        <w:t>L’appelant se plaint d’une violation de son droit d’être entendu. 2.1.1 Le droit d'être entendu (art. 29 al. 2 Cst.) comprend pour l'intéressé celui de se déterminer avant qu'une décision ne soit prise qui touche sa situation juridique, d'offrir des preuves pertinentes, d'obtenir qu'il soit donné suite à ses offres de preuves pertinentes, de participer à l'administration des preuves essentielles ou à tout le moins de s'exprimer sur son résultat, lorsque cela est de nature à influer sur la décision à rendre (ATF 136 I 265 consid. 3.2; 135 II 286 consid. 5.1; 132 II 485 consid. 3.2; 127 I 54 consid. 2b). Le droit d'être entendu ne s'oppose pas à ce que l'autorité mette un terme à l'instruction lorsque les preuves administrées lui ont permis de forger sa conviction (arrêt du Tribunal fédéral 5A_12/2013 du 8 mars 2013 consid. 4.1). Il sert à établir correctement les faits, mais constitue également un droit indissociable de la personnalité garantissant à un particulier de participer à la prise d'une décision qui touche sa position juridique (arrêt du Tribunal fédéral 8C_643/2011 du 9 mars 2012 consid. 4.3). Ce droit - dont le respect doit être examiné en premier lieu (ATF 124 I 49 consid.1) et avec un plein pouvoir d'examen (ATF 140 III 1 consid. 3.1.1) - est une garantie constitutionnelle de nature formelle, dont la violation entraîne, par principe, l'annulation de la décision attaquée, sans égard aux chances de succès du recours au fond (ATF 135 I 279 consid. 2.6.1).</w:t>
      </w:r>
    </w:p>
    <w:p>
      <w:r>
        <w:rPr>
          <w:b/>
        </w:rPr>
        <w:t>E. 2.2</w:t>
      </w:r>
    </w:p>
    <w:p>
      <w:r>
        <w:t>En l’espèce, la décision rendue ne consacre aucune violation du droit d’être entendu de l’appelant. Ce dernier a eu la possibilité de s’exprimer par écrit dans le délai qui lui a été fixé par le juge de paix avant que la décision ne soit rendue, ce qui respecte son droit d’être entendu. L’appelant ne dispose pas d’un droit inconditionnel à être entendu en audience et aurait pu s’exprimer dans le délai fixé par la Justice de paix pour ce faire, lequel a été prolongé à sa demande sans qu’il ne l’utilise, si ce n’est pour solliciter la tenue d’une audience. La Justice de paix a cependant tenu compte dans sa décision des déterminations spontanées de l'appelant déposées le 4 novembre 2019.</w:t>
      </w:r>
    </w:p>
    <w:p>
      <w:r>
        <w:rPr>
          <w:b/>
        </w:rPr>
        <w:t>E. 3</w:t>
      </w:r>
    </w:p>
    <w:p>
      <w:r>
        <w:t>L'appelant conditionne son acceptation de la nomination d'un représentant de l'hoirie à la tenue d’une audience par la Cour de céans, respectivement par le Juge de paix, tout en déclarant sur le principe ne pas être opposé à cette désignation. Cette conclusion, à la limite de la recevabilité, questionne sur le véritable intérêt de l'appelant à agir. Cette question sera cependant laissée ouverte, l'appel étant quoi qu'il en soit infondé.</w:t>
      </w:r>
    </w:p>
    <w:p>
      <w:r>
        <w:t>- 8/10 -</w:t>
      </w:r>
    </w:p>
    <w:p>
      <w:r>
        <w:t>Error! Reference source not found.</w:t>
      </w:r>
    </w:p>
    <w:p>
      <w:r>
        <w:rPr>
          <w:b/>
        </w:rPr>
        <w:t>E. 3.1</w:t>
      </w:r>
    </w:p>
    <w:p>
      <w:r>
        <w:t>S'il y a plusieurs héritiers, tous les droits et obligations compris dans la succession restent indivis jusqu'au partage (art. 602 al. 1 CC). A la demande de l'un des héritiers, l'autorité compétente peut désigner un représentant de la communauté héréditaire jusqu'au moment du partage (art. 602 al. 3 CC). La nomination d'un représentant d'hoirie doit être faite chaque fois qu'elle paraît utile, selon l'appréciation de l'autorité, parce que les héritiers ne peuvent pas agir envers des tiers, d'une façon générale ou dans un cas particulier, en raison de leurs divergences, ou en cas de blocages survenus en raison des dissensions des héritiers ou encore lorsque la substance ou les rendements de la succession sont mis en péril. L'autorité ne peut désigner un représentant que si la communauté héréditaire dure encore et si la représentation n'est pas déjà assurée par un exécuteur testamentaire, un administrateur officiel ou un liquidateur officiel (SPAHR, CR-CC, 2016, ad art. 602, nos 62 ss, 71, 73 et 74). L'autorité peut donner un pouvoir général de gérer la succession aux représentants de l'hoirie. Sauf précision contraire, les pouvoirs du représentant sont alors ceux d'un exécuteur testamentaire, à ceci près qu'il n'a pas à préparer le partage de la succession (STEINAUER, Le droit des successions, 2015 n. 1224). La désignation d'un représentant de la communauté héréditaire jusqu'au partage, est une mesure ordonnée dans le cadre de la dévolution successorale (arrêt du Tribunal fédéral 5A_267/2012 consid. 3.1). Le représentant de l'hoirie indivise est nommé pour la communauté des héritiers, non comme le représentant et dans l'intérêt d'un unique héritier (arrêt du Tribunal fédéral 5A_241/2014 consid. 2.1). L'autorité bénéficie d'un large pouvoir d'appréciation pour décider si elle accueille la requête favorablement ou non. Elle nommera un représentant chaque fois que les circonstances justifient une telle solution, par exemple, lorsque les héritiers sont incapables d'administrer le patrimoine successoral, lorsqu'ils n'arrivent pas à prendre une décision importante ou à choisir un représentant, lorsqu'ils sont en conflit, si certains d'entre eux sont absents ou en cas de mise en danger de la substance voire des revenus de la succession (SPAHR, op., cit. n. 73 ad art. 602 CC). La requête doit être admise en principe lorsque les membres de la communauté ne peuvent pas agir envers les tiers ou s'il y a rupture de leur rapport de confiance. Toutefois, de simples divergences internes sur la manière d'exploiter et de gérer le patrimoine successoral ne justifient en principe pas la désignation d'un représentant (ibidem). La désignation d'un représentant de la communauté doit servir en premier lieu les droits de la succession et la capacité à représenter la communauté à l'égard des tiers. Elle n'est toutefois pas faite pour le règlement de conflits purement internes entre les héritiers (WOLF, Bernard Kommentar, 2014 n. 139 ad art. 602 CC). Un rapport de confiance rompu entre les héritiers peut toutefois suffire pour la désignation d'un représentant de la communauté (ibidem).</w:t>
      </w:r>
    </w:p>
    <w:p>
      <w:r>
        <w:t>- 9/10 -</w:t>
      </w:r>
    </w:p>
    <w:p>
      <w:r>
        <w:t>Error! Reference source not found.</w:t>
      </w:r>
    </w:p>
    <w:p>
      <w:r>
        <w:rPr>
          <w:b/>
        </w:rPr>
        <w:t>E. 3.2</w:t>
      </w:r>
    </w:p>
    <w:p>
      <w:r>
        <w:t>En l’espèce, la Justice de paix, qui disposait d'un large pouvoir d'appréciation, a retenu qu’il ressortait tant des allégations du requérant que de son cohéritier qu’il existait une mésentente au sein de l’hoirie qui ne permettait pas de prendre des décisions unanimes et de régler les affaires courantes. Les avoirs successoraux avaient fait l’objet de sommations de la part des créanciers et l’objet de procédures civiles aux fins de règlement. L’appelant ne soutient pas que tel ne serait pas le cas, au contraire. Il insiste sur l’impossibilité des héritiers à s’entendre et les reproches et soupçons formulés à l’encontre de son frère démontrent l’intensité du conflit existant entre eux et l’impossibilité de gérer les biens de la succession ensemble. Dans ses déterminations spontanées à la Justice de paix, l’appelant, tout en refusant la désignation d’un représentant de la succession, alléguait que son frère refusait toute coopération dans la gestion de l’hoirie, notamment concernant la convocation d’une assemblée générale de la SI ou dans l’établissement de ses comptes. L’explication fournie par l’appelant, confortée par les explications de l'intimé, étaient suffisantes pour convaincre le Juge de paix de la nécessité de désigner un représentant d’hoirie à la communauté héréditaire. Les éléments figurant au dossier, soit les sommations et les procédures civiles aux fins de règlement, attestent de l’impossibilité des hoirs à régler les affaires courantes de la succession. C’est ainsi à raison que la Justice de paix a nommé un représentant à la communauté héréditaire et désigné une personne neutre à cette fonction. Au vu de ce qui précède, il n'y a pas lieu à l'ordonnance de mesures d'instruction complémentaires. L’appel, infondé, sera rejeté, dans la mesure de sa recevabilité.</w:t>
      </w:r>
    </w:p>
    <w:p>
      <w:r>
        <w:rPr>
          <w:b/>
        </w:rPr>
        <w:t>E. 4</w:t>
      </w:r>
    </w:p>
    <w:p>
      <w:r>
        <w:t>Les frais judiciaires seront arrêtés à 2'000 fr. (art. 26 RTFMC), comprenant la décision sur effet suspensif, et mis à la charge de A______, qui succombe (art. 106 al. 1 CPC). Ils seront compensés partiellement avec les avances de frais versées par ce dernier, qui demeurent acquises à l'Etat de Genève (art. 111 al. 1 CPC). A______ sera condamné à verser aux Services financiers du Pouvoir judiciaire une somme de 1'500 fr. Il sera également condamné, pour les mêmes motifs, à verser des dépens de 2'000 fr. à B______, qui plaide par avocat. * * * * *</w:t>
      </w:r>
    </w:p>
    <w:p>
      <w:r>
        <w:t>- 10/10 -</w:t>
      </w:r>
    </w:p>
    <w:p>
      <w:r>
        <w:t>Error! Reference source not found. PAR CES MOTIFS, La Chambre civile : Rejette, dans la mesure de sa recevabilité, l'appel formé le 12 octobre 2020 par A______ contre la décision DJP/351/2020 rendue le 21 septembre 2020 par la Justice de paix dans la cause C/11513/2017. Arrête les frais de la procédure d'appel à 2'000 fr., les met à la charge de A______ et les compense partiellement avec l'avance de frais versée par celui-ci, qui reste acquise à l'Etat de Genève. Condamne A______ à verser la somme de 1'500 fr. aux Services financiers du Pouvoir judiciaire. Condamne A______ au paiement de la somme de 2'000 fr. à titre de dépens en faveur de B______.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