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DAS/35/2015 vom 27. Februar 2015</w:t>
      </w:r>
    </w:p>
    <w:p>
      <w:r>
        <w:t>GE Cour de justice, 2015-02-27, FR</w:t>
      </w:r>
    </w:p>
    <w:p>
      <w:r>
        <w:rPr>
          <w:b/>
        </w:rPr>
        <w:t xml:space="preserve">Quelle: </w:t>
      </w:r>
      <w:r>
        <w:t>https://mcp.opencaselaw.ch/entscheid/ge_gerichte_DAS_35_2015</w:t>
      </w:r>
    </w:p>
    <w:p>
      <w:r>
        <w:t>FR: GE_GERICHTE DAS/35/2015 du 27 février 2015</w:t>
      </w:r>
    </w:p>
    <w:p>
      <w:r>
        <w:t>IT: GE_GERICHTE DAS/35/2015 del 27 febbraio 2015</w:t>
      </w:r>
    </w:p>
    <w:p>
      <w:pPr>
        <w:pStyle w:val="Heading2"/>
      </w:pPr>
      <w:r>
        <w:t>Erwägungen</w:t>
      </w:r>
    </w:p>
    <w:p>
      <w:r>
        <w:rPr>
          <w:b/>
        </w:rPr>
        <w:t>E. 1</w:t>
      </w:r>
    </w:p>
    <w:p>
      <w:r>
        <w:t>Vu la nationalité étrangère de l'adoptée, la cause présente un élément d'extranéité.</w:t>
      </w:r>
    </w:p>
    <w:p>
      <w:r>
        <w:rPr>
          <w:b/>
        </w:rPr>
        <w:t>E. 1.1</w:t>
      </w:r>
    </w:p>
    <w:p>
      <w:r>
        <w:t>Selon l'art. 75 al. 1 LDIP, sont compétentes pour prononcer l'adoption, les autorités judiciaires ou administratives suisses du domicile de l'adoptant ou des époux adoptants. Les conditions de l'adoption prononcée en suisse sont régies par le droit suisse (art. 77 al. 1 LDIP). A Genève, la Cour de justice civile est compétente pour prononcer l'adoption (art. 120 al. 1 let. c LOJ).</w:t>
      </w:r>
    </w:p>
    <w:p>
      <w:r>
        <w:t>- 3/5 -</w:t>
      </w:r>
    </w:p>
    <w:p>
      <w:r>
        <w:t>C/16046/2014-CS</w:t>
      </w:r>
    </w:p>
    <w:p>
      <w:r>
        <w:rPr>
          <w:b/>
        </w:rPr>
        <w:t>E. 1.2</w:t>
      </w:r>
    </w:p>
    <w:p>
      <w:r>
        <w:t>La Cour de céans est par conséquent compétente pour prononcer l'adoption, l'adoptant étant domicilié à Genève.</w:t>
      </w:r>
    </w:p>
    <w:p>
      <w:r>
        <w:rPr>
          <w:b/>
        </w:rPr>
        <w:t>E. 2</w:t>
      </w:r>
    </w:p>
    <w:p>
      <w:r>
        <w:t>Dans le cas d'espèce, l'enfant à adopter, née le ______ 1996, était mineure au moment du dépôt de la requête mais est devenue majeure en cours de procédure.</w:t>
      </w:r>
    </w:p>
    <w:p>
      <w:r>
        <w:rPr>
          <w:b/>
        </w:rPr>
        <w:t>E. 2.1</w:t>
      </w:r>
    </w:p>
    <w:p>
      <w:r>
        <w:t>Selon l'art. 268 al. 3 CC, lorsque l'enfant devient majeur après le dépôt de la requête, les dispositions sur l'adoption du mineur restent applicables si les conditions étaient réalisées auparavant, ce à l'exclusion du consentement des parents biologiques qui n'est plus nécessaire (ATF 137 III 1). Selon l'art. 264 CC, 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 S'agissant de l'adoption de l'enfant du conjoint, l'art. 264a al. 3 CC stipule qu'un époux peut adopter l'enfant de son conjoint s'il est marié avec ce dernier depuis cinq ans. En outre, l'art. 265 al. 1 CC prescrit que l'enfant doit être d'au moins seize ans plus jeune que les parents adoptifs. D'autre part, selon l'al. 2 de cette disposition, l'adoption ne peut avoir lieu que du consentement de l'enfant, si ce dernier est capable de discernement.</w:t>
      </w:r>
    </w:p>
    <w:p>
      <w:r>
        <w:rPr>
          <w:b/>
        </w:rPr>
        <w:t>E. 2.2</w:t>
      </w:r>
    </w:p>
    <w:p>
      <w:r>
        <w:t>Dans le cas d'espèce, il ressort du dossier que l'adoptant et la mère de l'adoptée sont mariés depuis plus de cinq ans et que l'adoptée vit avec eux depuis le ______ 2011, soit depuis plus d'une année. D'autre part, la différence d'âge prescrite par la loi entre l'adoptant et l'adoptée est respectée. Pour le surplus, l'adoptée a donné son consentement par écrit, puis lors de l'audience tenue par la Cour le ______ 2015, après avoir été informée des implications du prononcé de l'adoption. Enfin, l'enfant d'un précédent lit de l'adoptant a donné son consentement en date du ______ 2014 à l'adoption, de sorte que celle-ci est présumée ne pas porter une atteinte inéquitable à sa situation. Par conséquent, toutes les conditions au prononcé de l'adoption sont réalisées, de sorte que celle-ci pourra l'être, le consentement du père biologique de l'adoptée n'étant pas nécessaire.</w:t>
      </w:r>
    </w:p>
    <w:p>
      <w:r>
        <w:rPr>
          <w:b/>
        </w:rPr>
        <w:t>E. 2.3</w:t>
      </w:r>
    </w:p>
    <w:p>
      <w:r>
        <w:t>Conformément à l'art. 267 al. 1 CC, l'enfant acquiert le statut juridique d'un enfant de ses parents adoptifs. Selon l'al. 2 de cette disposition, les liens de filiation antérieurs sont rompus, sauf à l'égard du conjoint de l'adoptant. Dès lors, il sera rappelé dans le dispositif de la présente décision que le lien de filiation est maintenu entre l'adoptée et sa mère.</w:t>
      </w:r>
    </w:p>
    <w:p>
      <w:r>
        <w:rPr>
          <w:b/>
        </w:rPr>
        <w:t>E. 3</w:t>
      </w:r>
    </w:p>
    <w:p>
      <w:r>
        <w:t>Les frais de la procédure, arrêtés à 1'000 fr. (art. 19 al. 1 et 3 let. a LaCC; 26 RTFMC), sont mis à la charge du requérant. Ils sont compensés entièrement</w:t>
      </w:r>
    </w:p>
    <w:p>
      <w:r>
        <w:t>- 4/5 -</w:t>
      </w:r>
    </w:p>
    <w:p>
      <w:r>
        <w:t>C/16046/2014-CS avec l'avance de frais du même montant, qui reste acquise à l'Etat (art. 98, 101 et 111 CPC). * * * * *</w:t>
      </w:r>
    </w:p>
    <w:p>
      <w:r>
        <w:t>- 5/5 -</w:t>
      </w:r>
    </w:p>
    <w:p>
      <w:r>
        <w:t>C/16046/2014-CS PAR CES MOTIFS, La Chambre civile : Prononce l'adoption de B______, née à ______ (______) le ______ 1996, de nationalité ______, par A______, né à ______ le ______ 1945, originaire de ______. Dit que le lien de filiation entre B______ et sa mère, C______, née ______, n'est pas rompu. Arrête les frais judiciaires de la procédure à 1'000 fr., les met à la charge de A______ et dit qu'ils sont entièrement compensés par l'avance de frais d'ores et déjà effectuée, qui reste acquise à l'Etat. Siégeant : Monsieur Cédric-Laurent MICHEL, président; Monsieur Jean-Marc STRUBIN et Madame Paola CAMPOMAGNANI, juges; Madame Carmen FRAGA, greffière.</w:t>
      </w:r>
    </w:p>
    <w:p>
      <w:r>
        <w:t>Le président : Cédric-Laurent MICHEL</w:t>
      </w:r>
    </w:p>
    <w:p>
      <w:r>
        <w:t>La greffière : Carmen FRAGA</w:t>
      </w:r>
    </w:p>
    <w:p>
      <w:r>
        <w:t>Annexes pour le Service de l'état civil : Pièces déposées par le requérant.</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