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DAS/34/2019 vom 15. Juni 2018</w:t>
      </w:r>
    </w:p>
    <w:p>
      <w:r>
        <w:t>GE Cour de justice, 2018-06-15, FR</w:t>
      </w:r>
    </w:p>
    <w:p>
      <w:r>
        <w:rPr>
          <w:b/>
        </w:rPr>
        <w:t xml:space="preserve">Quelle: </w:t>
      </w:r>
      <w:r>
        <w:t>https://mcp.opencaselaw.ch/entscheid/ge_gerichte_DAS_34_2019</w:t>
      </w:r>
    </w:p>
    <w:p>
      <w:r>
        <w:t>FR: GE_GERICHTE DAS/34/2019 du 15 juin 2018</w:t>
      </w:r>
    </w:p>
    <w:p>
      <w:r>
        <w:t>IT: GE_GERICHTE DAS/34/2019 del 15 giugno 2018</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Interjetés par les parents du mineur, ayant qualité pour recourir, dans le délai utile de trente jours et suivant la forme prescrite, les deux recours seront déclarés recevables (art. 450 al. 2 et 3 et 450b CC). Ils seront traités dans une même décision.</w:t>
      </w:r>
    </w:p>
    <w:p>
      <w:r>
        <w:rPr>
          <w:b/>
        </w:rPr>
        <w:t>E. 1.2</w:t>
      </w:r>
    </w:p>
    <w:p>
      <w:r>
        <w:t>Compte tenu de la matière, soumise aux maximes inquisitoire et d'office illimitée, la cognition de la Chambre de surveillance est complète. Elle n'est pas liée par les conclusions des parties (art. 446 CC).</w:t>
      </w:r>
    </w:p>
    <w:p>
      <w:r>
        <w:t>- 7/11 -</w:t>
      </w:r>
    </w:p>
    <w:p>
      <w:r>
        <w:t>C/27055/2017-CS</w:t>
      </w:r>
    </w:p>
    <w:p>
      <w:r>
        <w:rPr>
          <w:b/>
        </w:rPr>
        <w:t>E. 1.3</w:t>
      </w:r>
    </w:p>
    <w:p>
      <w:r>
        <w:t>Les pièces nouvellement déposées devant la Chambre de céans par les parents du mineur sont recevables, dans la mesure où l'art. 53 LaCC, qui régit de manière exhaustive les actes accomplis par les parties en seconde instance, à l'exclusion du CPC, ne prévoit aucune restriction en cette matière.</w:t>
      </w:r>
    </w:p>
    <w:p>
      <w:r>
        <w:rPr>
          <w:b/>
        </w:rPr>
        <w:t>E. 2</w:t>
      </w:r>
    </w:p>
    <w:p>
      <w:r>
        <w:t>Les recourants contestent tous deux le droit de visite fixé par le Tribunal de protection, la mère indiquant qu'elle n'est pas en mesure de trouver un tiers assurant le droit de visite de deux heures prévus, avant qu'il ne soit mis en place au Point rencontre, tandis que le père s'estime capable d'exercer le droit de visite fixé par le juge du divorce, cas échéant en présence de sa nouvelle épouse. 2.1.1 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ou le refus et la fixation des modalités du droit de visite est le bien de l'enfant, et non une éventuelle faute commise par le titulaire du droit (VEZ, Le droit de visite. Problèmes récurrents in Enfants et divorce 2006, p. 101 ss, 105). Le rapport de l'enfant avec ses deux parents est essentiel et peut jouer un rôle décisif dans le processus de sa recherche d'identité (ATF 127 III 295 consid. 4a; 123 III 445 consid. 3c; 122 III 404 consid. 3a et les ref. citées). Le juge dispose d'un large pouvoir d'appréciation dans la fixation du droit de visite (ATF 122 III 404 consid. 3c = JdT 1998 I 46).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3s, publié in FaMPra.ch 2007 p. 167). Quel que soit le motif du refus ou du retrait du droit de visite, la mesure ne doit être envisagée que si elle constitue l'ultime moyen d'éviter que le bien de l'enfant soit mis en péril. Un refus des relations personnelles doit ainsi respecter les principes de subsidiarité et de proportionnalité, et ne saurait être imposé que si une autre mesure d'encadrement</w:t>
      </w:r>
    </w:p>
    <w:p>
      <w:r>
        <w:t>- 8/11 -</w:t>
      </w:r>
    </w:p>
    <w:p>
      <w:r>
        <w:t>C/27055/2017-CS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Arrêts du Tribunal fédéral 5C.244/2001, 5C.58/2004). Une mise en danger concrète du bien de l'enfant est nécessaire pour imposer au titulaire l'obligation de se soumettre à des modalités particulières ou motiver une suspension du droit limité dans le temps. Il en va ainsi si l'enfant est mal traité ou en cas de troubles psychiques du titulaire du droit de garde (MEIER/STETTLER, Droit de la filiation, 3ème éd. P. 24).</w:t>
      </w:r>
    </w:p>
    <w:p>
      <w:r>
        <w:rPr>
          <w:b/>
        </w:rPr>
        <w:t>E. 2.2</w:t>
      </w:r>
    </w:p>
    <w:p>
      <w:r>
        <w:t>En l'espèce, le droit de visite du père sur l'enfant a été fixé initialement dans le cadre du jugement de divorce rendu par le Tribunal de première instance en date du 25 avril 2017. Toutefois il est rapidement apparu que le père connaissait des problèmes d'alcoolisme importants, pour lesquels il a été hospitalisé, et qu'il se trouvait dans le déni de son état, de même que sa nouvelle épouse. Le mineur a été confronté à plusieurs reprises à des états d'ébriété avancée de son père pendant l'exercice du droit de visite, dans le courant de l'année 2017, de nature à le mettre en danger. Affecté par la situation à laquelle il était confronté et dont il était conscient, puisqu'il a pu exprimer malgré son jeune âge que son père allait mal, il a développé des troubles du sommeil ainsi que des problèmes d'incontinence. En l'état, bien que le père se soumette dorénavant à un suivi régulier auprès du H______ et à l'envoi des attestations demandées au Service de protection des mineurs, avec lequel il collabore désormais, il n'est pas envisageable, sans plus d'information sur son état psychologique et ses problèmes d'alcoolisme et de prise de médicaments, de maintenir le droit de visite tel qu'il avait été fixé par le Tribunal de première instance, étant précisé que sa nouvelle épouse, qui a toujours manifesté une attitude de déni face aux problèmes de son époux, n'offre pas la garantie d'un déroulement sécure du droit de visite du père sur le mineur. Les professionnels s'accordent toutefois à dire que les relations entre le père et le fils doivent être maintenues, l'enfant manifestant également le désir de voir son père. Les visites entre l'enfant et son père, qui doivent se dérouler dans un premier temps au Point rencontre, point sur lequel les parents s'accordent dorénavant, doivent donc être rapidement mises en place par les curateurs nommés, afin de permettre la reprise sereine et régulière des relations entre le père et le fils et l'observation du bon déroulement des rencontres et ce, à raison d'une heure et demie par semaine, tel que préconisé par le SEASP. Un droit de visite préalable en présence d'un tiers de confiance ne paraît pas opportun, en raison des difficultés exprimées par la mère de l'enfant à le mettre en place et de la nécessité que la reprise des relations se fasse par l'intermédiaire de professionnels.</w:t>
      </w:r>
    </w:p>
    <w:p>
      <w:r>
        <w:t>- 9/11 -</w:t>
      </w:r>
    </w:p>
    <w:p>
      <w:r>
        <w:t>C/27055/2017-CS En conséquence, le chiffre 1 du dispositif de l'ordonnance querellée sera modifié en ce sens que le droit de visite entre B______ et son fils mineur E______ sera fixé à raison d'une heure et demie par semaine au Point rencontre. Comme le relève par ailleurs à juste titre le recourant, le jugement de divorce prononcé par le Tribunal de première instance devra être modifié également, s'agissant du droit de visite qu'il avait fixé.</w:t>
      </w:r>
    </w:p>
    <w:p>
      <w:r>
        <w:rPr>
          <w:b/>
        </w:rPr>
        <w:t>E. 3</w:t>
      </w:r>
    </w:p>
    <w:p>
      <w:r>
        <w:t>Les procédures portant sur la fixation des relations personnelles ne sont pas gratuites (art. 77 LaCC). Les frais judiciaires de recours seront fixés à 800 fr., mis à la charge des recourants par moitié et compensés avec l'avance de frais de 400 fr. qu'ils ont effectuée respectivement, laquelle reste acquise à l'Etat de Genève (art. 111 al. 1 CPC).</w:t>
      </w:r>
    </w:p>
    <w:p>
      <w:r>
        <w:t>Il ne sera pas alloué de dépens. * * * * *</w:t>
      </w:r>
    </w:p>
    <w:p>
      <w:r>
        <w:t>- 10/11 -</w:t>
      </w:r>
    </w:p>
    <w:p>
      <w:r>
        <w:t>C/27055/2017-CS PAR CES MOTIFS, La Chambre de surveillance : A la forme : Déclare recevables les recours formés le 15 juin 2018 par A______ et le 18 juin 2018 par B______ contre l'ordonnance DTAE/2444/2018 rendue le 20 avril 2018 par le Tribunal de protection de l'adulte et de l'enfant dans la cause C/27055/2017-10. Au fond : Annule le chiffre 1 de l'ordonnance querellée et cela fait, statuant à nouveau : Annule le chiffre 4 du jugement rendu le 23 avril 2017 par le Tribunal de première instance (JTPI/5368/2017) dans la cause C/1______/2016-5. Réserve à B______ un droit de visite sur son fils E______ à raison d'une heure trente par semaine au Point rencontre. Confirme l'ordonnance querellée pour le surplus. Sur les frais : Arrête les frais judiciaires des deux recours à 800 fr., les met par moitié à charge de A______ et de B______ et les compense avec les avances de frais effectuées par chacun d'eux, qui restent acquises à l'Etat de Genève. Dit qu'il n'y a pas lieu à allocation de dépens. Siégeant : Monsieur Cédric-Laurent MICHEL, président; Mesdames Ursula ZEHETBAUER GHAVAMI et Jocelyne DEVILLE-CHAVANNE, juges; Madame Carmen FRAGA, greffière.</w:t>
      </w:r>
    </w:p>
    <w:p>
      <w:r>
        <w:t>- 11/11 -</w:t>
      </w:r>
    </w:p>
    <w:p>
      <w:r>
        <w:t>C/27055/2017-CS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