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DAS/34/2017 vom 16. Februar 2017</w:t>
      </w:r>
    </w:p>
    <w:p>
      <w:r>
        <w:t>GE Cour de justice, 2017-02-16, FR</w:t>
      </w:r>
    </w:p>
    <w:p>
      <w:r>
        <w:rPr>
          <w:b/>
        </w:rPr>
        <w:t xml:space="preserve">Quelle: </w:t>
      </w:r>
      <w:r>
        <w:t>https://mcp.opencaselaw.ch/entscheid/ge_gerichte_DAS_34_2017</w:t>
      </w:r>
    </w:p>
    <w:p>
      <w:r>
        <w:t>FR: GE_GERICHTE DAS/34/2017 du 16 février 2017</w:t>
      </w:r>
    </w:p>
    <w:p>
      <w:r>
        <w:t>IT: GE_GERICHTE DAS/34/2017 del 16 febbraio 2017</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w:t>
      </w:r>
    </w:p>
    <w:p>
      <w:r>
        <w:rPr>
          <w:b/>
        </w:rPr>
        <w:t>E. 1.2</w:t>
      </w:r>
    </w:p>
    <w:p>
      <w:r>
        <w:t>En l'espèce, la décision du 1er novembre 2016 de la Justice de paix a été communiquée le 2 novembre 2016 aux parties, et reçue le 9 novembre 2016 par l'appelante, de sorte que l'appel déposé le 19 novembre 2016, dans une cause dont la valeur litigieuse est supérieure à 10'000 fr. et par une écriture motivée, est recevable (art. 130, 131 et 311 al. 1 CPC).</w:t>
      </w:r>
    </w:p>
    <w:p>
      <w:r>
        <w:rPr>
          <w:b/>
        </w:rPr>
        <w:t>E. 2.1</w:t>
      </w:r>
    </w:p>
    <w:p>
      <w:r>
        <w:t>Selon l'art. 554 al. 1 CC, lorsque les vocations successorales sont incertaines, l'autorité peut ordonner l'administration d'office de la succession. L'administrateur d'office doit principalement assurer la conservation du patrimoine successoral dans son état et dans ses valeurs (art. 554 CC en relation avec l'art. 551 CC; arrêt du Tribunal fédéral 2P.77/2006 du 13 septembre 2006 consid. 5.2). A son entrée en fonction, il doit établir un inventaire de la succession au sens de l'art. 553 CC (STEINAUER, Le droit des successions, 2006, n. 878 a p. 430; KARRER/VOGT/LEU, Basler Kommentar, 4ème éd. 2011, n. 40 ad art. 554 CC). L'administrateur officiel n'est pas le représentant des héritiers et doit dès lors faire preuve d'indépendance et d'impartialité entre eux. Il n'a pas le devoir de clarifier les actes entre vifs effectués par le défunt de son vivant (KARRER/VOGT/LEU, op. cit. n. 40 ad art. 554 CC). En matière fiscale, l'administrateur d'office a l'obligation de dresser l'inventaire officiel de la succession à la suite du décès du contribuable (art. 154 ss LIFD) (art. 62 ss LPFisc) (art. 29 ss de la Loi sur les droits de succession RS GE D 3 25).</w:t>
      </w:r>
    </w:p>
    <w:p>
      <w:r>
        <w:t>- 5/7 -</w:t>
      </w:r>
    </w:p>
    <w:p>
      <w:r>
        <w:rPr>
          <w:b/>
        </w:rPr>
        <w:t>E. 2.2</w:t>
      </w:r>
    </w:p>
    <w:p>
      <w:r>
        <w:t>Dans le cas d'espèce, il ressort du dossier que l'administrateur d'office s'est strictement conformé non seulement à la mission qui lui avait été donnée par le juge de paix mais en outre à son rôle tel qu'il découle de la loi. Il a effectué les démarches nécessaires de manière à établir l'inventaire des biens de la défunte et à exécuter les actions qui étaient requises et attendues de lui, à l'égard de l'Administration fiscale notamment. Il a, conformément à sa mission, intenté une procédure judiciaire administrative dans laquelle la succession a obtenu gain de cause et dressé un rapport final à l'attention de la Justice de paix, son autorité de surveillance. D'éventuels griefs quant à l'exécution de la mission par l'administrateur officiel désigné par la Justice de paix s'avèrent infondés.</w:t>
      </w:r>
    </w:p>
    <w:p>
      <w:r>
        <w:rPr>
          <w:b/>
        </w:rPr>
        <w:t>E. 3.1</w:t>
      </w:r>
    </w:p>
    <w:p>
      <w:r>
        <w:t>Bien que la loi n'en fasse pas état, l'administrateur officiel, à l'instar du liquidateur officiel, a droit au remboursement de ses frais et à une rémunération fondée sur les règles du mandat (art. 402 al. 1 CO) (KARRER/VOGT/LEU, op. cit., n. 12, remarques préliminaires ad art. 551/559 CC). L'administrateur d'office a droit, même en cas d'exécution défectueuse du mandat, à des honoraires pour l'activité qu'il a exercée en conformité avec ses devoirs (ATF 124 III 423 consid. 4a). Le montant des honoraires représente une dette de la succession (MEIER/REYMOND-ENIAEVA, CR CC, 2016, n° 41). L'indemnité doit être équitable, fixée en fonction du temps employé, de la complexité des opérations effectuées, de l'étendue de la durée de la mission ainsi que des responsabilités que celle-ci entraîne. Le montant de l'indemnité doit être objectivement proportionné aux prestations effectuées. La rémunération est fixée selon les principes permettant de fixer les honoraires de l'exécuteur testamentaire par analogie, qui relèvent exclusivement du droit fédéral (MEIER/REYMOND- ENIAEVA, op. cit., n° 42 et ss, ad art. 554 CC).</w:t>
      </w:r>
    </w:p>
    <w:p>
      <w:r>
        <w:rPr>
          <w:b/>
        </w:rPr>
        <w:t>E. 3.2</w:t>
      </w:r>
    </w:p>
    <w:p>
      <w:r>
        <w:t>En l'espèce, l'appelante ne soulève aucun grief à l'encontre du montant des honoraires de l'administrateur d'office, à l'exception de celui déclaré infondé ci-dessus selon lequel l'administrateur d'office aurait effectué des actes non compris dans sa mission. C'est d'ailleurs à juste titre que la Justice de paix a fixé les honoraires en appliquant les principes rappelés ci-dessus. Pour le surplus, et comme mentionné sous 3.1, les honoraires de l'administrateur d'office sont des dettes de la succession et non pas d'un héritier ou d'un autre. Par ailleurs, la succession a largement la capacité de les assumer au vu de son actif net.</w:t>
      </w:r>
    </w:p>
    <w:p>
      <w:r>
        <w:rPr>
          <w:b/>
        </w:rPr>
        <w:t>E. 4</w:t>
      </w:r>
    </w:p>
    <w:p>
      <w:r>
        <w:t>Enfin, en tant qu'elle conteste l'émolument de la Justice de paix sans aucune motivation, la critique de l'appelante est irrecevable sur ce point. Par conséquent et en définitive, l'appel doit être rejeté en tous points et la décision de la Justice de paix confirmée.</w:t>
      </w:r>
    </w:p>
    <w:p>
      <w:r>
        <w:t>- 6/7 -</w:t>
      </w:r>
    </w:p>
    <w:p>
      <w:r>
        <w:rPr>
          <w:b/>
        </w:rPr>
        <w:t>E. 5</w:t>
      </w:r>
    </w:p>
    <w:p>
      <w:r>
        <w:t>Les frais judiciaires d'appel, y compris ceux d'une publication dans la Feuille d'avis officielle, seront arrêtés à 1'500 fr. et mis à la charge de l'appelante qui succombe (art. 19 al. 3 let. a LaCC, art. 106 al. 1 CPC). Ces frais seront partiellement compensés par l'avance de frais versée par l'appelante qui reste acquise à l'Etat. L'appelante sera condamnée à payer le solde dû. * * * * *</w:t>
      </w:r>
    </w:p>
    <w:p>
      <w:r>
        <w:t>- 7/7 -</w:t>
      </w:r>
    </w:p>
    <w:p>
      <w:r>
        <w:t>PAR CES MOTIFS, La Chambre civile : A la forme : Déclare recevable l'appel formé le 19 novembre 2016 par A______ contre la décision DJP/520/2016 rendue le 1er novembre 2016 par la Justice de paix dans la cause C/22727/2014. Au fond : Confirme la décision attaquée. Sur les frais d'appel : Arrête les frais judiciaires d'appel, y compris ceux d'une publication dans la Feuille d'avis officielle, à 1'500 fr., les met à la charge de A______ et les compense partiellement avec l'avance de frais de 500 fr. d'ores et déjà versée qui reste acquise à l'Etat de Genève. Condamne en conséquence A______ à payer à l'Etat de Genève la somme de 1'000 fr. Siégeant : Monsieur Cédric-Laurent MICHEL, président; Mesdames Paola CAMPOMAGNANI et Ursula ZEHETBAUER GHAVAMI, juges; Madame Marie NIERMARECHAL,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