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DAS/33/2021 vom 3. Januar 2020</w:t>
      </w:r>
    </w:p>
    <w:p>
      <w:r>
        <w:t>GE Cour de justice, 2020-01-03, FR</w:t>
      </w:r>
    </w:p>
    <w:p>
      <w:r>
        <w:rPr>
          <w:b/>
        </w:rPr>
        <w:t xml:space="preserve">Quelle: </w:t>
      </w:r>
      <w:r>
        <w:t>https://mcp.opencaselaw.ch/entscheid/ge_gerichte_DAS_33_2021</w:t>
      </w:r>
    </w:p>
    <w:p>
      <w:r>
        <w:t>FR: GE_GERICHTE DAS/33/2021 du 3 janvier 2020</w:t>
      </w:r>
    </w:p>
    <w:p>
      <w:r>
        <w:t>IT: GE_GERICHTE DAS/33/2021 del 3 gennaio 2020</w:t>
      </w:r>
    </w:p>
    <w:p>
      <w:pPr>
        <w:pStyle w:val="Heading2"/>
      </w:pPr>
      <w:r>
        <w:t>Erwägungen</w:t>
      </w:r>
    </w:p>
    <w:p>
      <w:r>
        <w:rPr>
          <w:b/>
        </w:rPr>
        <w:t>E. 1.1</w:t>
      </w:r>
    </w:p>
    <w:p>
      <w:r>
        <w:t>Les ordonnances d'instruction se rapportent à la préparation et à la conduite des débats; elles statuent en particulier sur l'opportunité et les modalités de l'administration des preuves, ne déploient ni autorité, ni force de chose jugée et peuvent en conséquence être modifiées ou complétées en tous temps (JEANDIN, CPC commenté, 2011, BOHNET/HALDY/JEANDIN/SCHWEIZER/ TAPPY ad art. 319 n. 14). L'ordonnance querellée, qui ordonne l'expertise psychiatrique de la personne concernée, est une ordonnance d'instruction selon la définition rappelée ci-dessus.</w:t>
      </w:r>
    </w:p>
    <w:p>
      <w:r>
        <w:rPr>
          <w:b/>
        </w:rPr>
        <w:t>E. 1.2</w:t>
      </w:r>
    </w:p>
    <w:p>
      <w:r>
        <w:t>Le Code civil ne prévoit aucune disposition particulière concernant les recours dirigés contre les ordonnances d'instruction rendues par le Tribunal de protection de l'adulte et de l'enfant, de sorte qu'il convient de se référer au Code de procédure civile (CPC), à moins que les cantons aient fait usage de leur compétence de légiférer en la matière (REUSSER, Basler Kommentar, Erwachsenenschutz, GEISER/REUSSER ad art. 450b CC n. 8). Les ordonnances d'instruction sont susceptibles d'un recours dans les dix jours (DAS/43/2015; art. 31 al. 1 let. c LaCC; 321 al. 2 CPC). Le recours doit être formé devant la Chambre de surveillance de la Cour de justice (art. 53 al. 1 LaCC). En l'espèce, le recours a été formé par la personne concernée par l'ordonnance attaquée, respectivement par son curateur de représentation, dans le délai utile, selon les formes prévues par la loi et devant l'autorité compétente; il est, de ce point de vue, recevable.</w:t>
      </w:r>
    </w:p>
    <w:p>
      <w:r>
        <w:rPr>
          <w:b/>
        </w:rPr>
        <w:t>E. 1.3</w:t>
      </w:r>
    </w:p>
    <w:p>
      <w:r>
        <w:t>Contre les ordonnances d'instruction, le recours n'est recevable que lorsque la décision peut causer un préjudice difficilement réparable (art. 319 let. b ch. 2 CPC, par renvoi de l'art. 450f CC; arrêts du Tribunal fédéral 5A_171/2015 du 20 avril 2015 consid. 6.1 et 5D_100/2014 du 19 septembre 2014 consid. 1.1; DAS/19/2016 du 21 janvier 2016).</w:t>
      </w:r>
    </w:p>
    <w:p>
      <w:r>
        <w:t>- 6/8 -</w:t>
      </w:r>
    </w:p>
    <w:p>
      <w:r>
        <w:t>C/1846/2012-CS Dans un arrêt 5A_655/2013 du 29 octobre 2013 consid. 2.3, le Tribunal fédéral a retenu qu'une ordonnance d'expertise était toujours susceptible de causer un préjudice difficilement réparable. Au vu de ce qui précède, le recours, en tant qu'il est dirigé contre une ordonnance préparatoire qui ordonne une expertise psychiatrique, est recevable.</w:t>
      </w:r>
    </w:p>
    <w:p>
      <w:r>
        <w:rPr>
          <w:b/>
        </w:rPr>
        <w:t>E. 2</w:t>
      </w:r>
    </w:p>
    <w:p>
      <w:r>
        <w:t>Le recourant invoque une violation de son droit d'être entendu. 2.1.1 Selon l'art. 446 al. 1 CC, l'autorité de protection de l'adulte établit les faits d'office. Selon l'al. 2 de cette disposition, elle procède à la recherche et à l'administration des preuves nécessaires. Elle peut charger une tierce personne ou un service d'effectuer une enquête. Si nécessaire elle ordonnera un rapport d'expertise. Selon l'art 44 al. 1 LaCC, pour s'éclairer sur une question de fait qui requiert l'avis d'un spécialiste, le Tribunal de protection peut ordonner une expertise confiée à un ou à plusieurs experts. L'art. 45 al. 1 LaCC précise que le Tribunal désigne l'expert et fixe l'objet de sa mission, après avoir entendu les parties. 2.1.2 En vertu de l'art. 447 al. 1 CC, la personne en faveur de laquelle une mesure de protection est envisagée doit être entendue personnellement, à moins que l'audition personnelle n'apparaisse disproportionnée. Garanti aux art. 29 al. 2 Cst. et 53 CPC, le droit d'être entendu comprend en particulier le droit pour le justiciable de s'expliquer avant qu'une décision ne soit prise à son détriment, de fournir des preuves quant aux faits de nature à influer sur la décision, d'avoir accès au dossier, de participer à l'administration des preuves, d'en prendre connaissance et de se déterminer à leur sujet (ATF 135 II 286 consid. 5.1; 135 I 187 consid. 2.20; 129 II 497 consid. 2.2). Le droit d'être entendu est une garantie de caractère formel dont la violation entraîne en principe l'annulation de la décision attaquée, indépendamment des chances de succès du recours au fond. Toutefois, une violation, pas particulièrement grave, du droit d'être entendu peut exceptionnellement être guérie si l'intéressé peut s'exprimer devant une instance de recours ayant libre pouvoir d'examen en fait comme en droit. Même en cas de violation grave du droit d'être entendu, la cause peut ne pas être renvoyée à l'instance précédente, si et dans la mesure où ce renvoi constitue une démarche purement formaliste qui conduirait à un retard inutile, incompatible avec l'intérêt de la partie concernée à un jugement rapide de la cause (ATF 135 I 279 consid. 2.6.1, JdT 2010 I 255). La Chambre de surveillance de la Cour de justice (art. 53 al. 1 LaCC) dispose d'une pleine cognition et revoit la cause en fait, en droit et en opportunité (art. 450a al. 1 CC).</w:t>
      </w:r>
    </w:p>
    <w:p>
      <w:r>
        <w:t>- 7/8 -</w:t>
      </w:r>
    </w:p>
    <w:p>
      <w:r>
        <w:t>C/1846/2012-CS</w:t>
      </w:r>
    </w:p>
    <w:p>
      <w:r>
        <w:rPr>
          <w:b/>
        </w:rPr>
        <w:t>E. 2.2</w:t>
      </w:r>
    </w:p>
    <w:p>
      <w:r>
        <w:t>En l'espèce, le Tribunal de protection a tenu une audience le 31 janvier 2020, à laquelle il a valablement convoqué le recourant. Ce dernier ne s’est pas présenté, alors qu’il en avait la possibilité. Il ressort en effet de la procédure que le greffe de la prison G______ a informé par courriel le Tribunal de protection, le matin du 31 janvier 2020, que le recourant refusait de se présenter à l'audience appointée le même jour. En conséquence, le recourant ne peut se plaindre, à ce stade de la procédure, d'une violation de l'art. 447 al. 1 CC, dès lors qu’il a lui-même renoncé à se présenter à ladite audience. En revanche, alors que le Tribunal de protection avait indiqué au curateur de représentation du recourant, présent à l'audience, qu'il envisageait d'ordonner une expertise psychiatrique afin d'évaluer les éventuels besoins de protection du concerné et avait réservé la procédure à ce sujet, il n'a pas donné l'occasion au recourant de s'exprimer avant la reddition de l'ordonnance d’expertise du 17 février 2020, ce qui constitue une violation du droit d'être entendu de celui-ci, mentionné de manière expresse à l'article 45 al. 1 LaCC. Or, une telle violation ne saurait être guérie par le fait que le recourant a pu développer son argumentation dans le recours déposé devant la chambre de céans. En effet, le droit d'être entendu avant qu'une expertise ne soit ordonnée porte non seulement sur le principe même de l'expertise, mais également sur les questions que la personne concernée souhaite soumettre à l'expert si l'expertise devait être ordonnée, lesquels n'ont pas été évoqués dans l'acte de recours. Le recours sera admis et l’ordonnance du 17 février 2020 annulée. La cause sera retournée au Tribunal de protection afin de donner la suite qu’il convient, dans le sens des considérants, après avoir examiné l'opportunité de la mesure d'instruction concernée, au regard du besoin de protection de l'intéressé.</w:t>
      </w:r>
    </w:p>
    <w:p>
      <w:r>
        <w:rPr>
          <w:b/>
        </w:rPr>
        <w:t>E. 3</w:t>
      </w:r>
    </w:p>
    <w:p>
      <w:r>
        <w:t>Les frais judiciaires de recours seront laissés à la charge de l’Etat de Genève, étant précisé qu’aucune avance de frais n’a été effectuée par le recourant qui plaide au bénéfice de l’assistance judiciaire.</w:t>
      </w:r>
    </w:p>
    <w:p>
      <w:r>
        <w:t>Il ne sera pas alloué de dépens.</w:t>
      </w:r>
    </w:p>
    <w:p>
      <w:r>
        <w:t>* * * * *</w:t>
      </w:r>
    </w:p>
    <w:p>
      <w:r>
        <w:t>- 8/8 -</w:t>
      </w:r>
    </w:p>
    <w:p>
      <w:r>
        <w:t>C/1846/2012-CS PAR CES MOTIFS, La Chambre de surveillance : A la forme : Déclare recevable le recours formé par A______ contre l’ordonnance DTAE/1142/2020 rendue le 17 février 2020 par le Tribunal de protection de l’adulte et de l’enfant dans la cause C/1846/2012. Au fond : Annule l’ordonnance entreprise. Renvoie la cause au Tribunal de protection pour instruction dans le sens des considérants. Laisse les frais du recours à la charge de l’Etat de Genève. Dit qu’il n’est pas alloué de dépens. Siégeant : Monsieur Cédric-Laurent MICHEL, président; Mesdames Ursula ZEHETBAUER GHAVAMI et Jocelyne DEVILLE-CHAVANNE, juges; Madame Jessica QUINODOZ,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