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DAS/32/2023 vom 8. Dezember 2022</w:t>
      </w:r>
    </w:p>
    <w:p>
      <w:r>
        <w:t>GE Cour de justice, 2022-12-08, FR</w:t>
      </w:r>
    </w:p>
    <w:p>
      <w:r>
        <w:rPr>
          <w:b/>
        </w:rPr>
        <w:t xml:space="preserve">Quelle: </w:t>
      </w:r>
      <w:r>
        <w:t>https://mcp.opencaselaw.ch/entscheid/ge_gerichte_DAS_32_2023</w:t>
      </w:r>
    </w:p>
    <w:p>
      <w:r>
        <w:t>FR: GE_GERICHTE DAS/32/2023 du 8 décembre 2022</w:t>
      </w:r>
    </w:p>
    <w:p>
      <w:r>
        <w:t>IT: GE_GERICHTE DAS/32/2023 del 8 dicembre 2022</w:t>
      </w:r>
    </w:p>
    <w:p>
      <w:pPr>
        <w:pStyle w:val="Heading2"/>
      </w:pPr>
      <w:r>
        <w:t>Erwägungen</w:t>
      </w:r>
    </w:p>
    <w:p>
      <w:r>
        <w:rPr>
          <w:b/>
        </w:rPr>
        <w:t>E. 1.1</w:t>
      </w:r>
    </w:p>
    <w:p>
      <w:r>
        <w:t>Les décisions de l'autorité de protection relatives à des mesures d'instruction peuvent faire l'objet d'un recours dans les dix jours à compter de leur notification (DAS/43/2015; art. 31 al. 1 let. c LaCC; 321 al. 2 CPC) auprès de la Chambre de surveillance de la Cour de justice (art. 53 al. 1 LaCC).</w:t>
      </w:r>
    </w:p>
    <w:p>
      <w:r>
        <w:t>Le recours doit être dûment motivé et interjeté par écrit auprès du juge (art. 450 al. 3 CC).</w:t>
      </w:r>
    </w:p>
    <w:p>
      <w:r>
        <w:rPr>
          <w:b/>
        </w:rPr>
        <w:t>E. 1.2</w:t>
      </w:r>
    </w:p>
    <w:p>
      <w:r>
        <w:t>Le recours a été formé dans le délai légal, conformément aux conditions de l'art. 450 al. 2 et 3 CC, et par-devant l'instance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consid. 6.1 et 5D_100/2014 consid. 1.1; DAS/19/2016). La notion de préjudice difficilement réparable vise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consid. 2.4; HOHL, Procédure civile, Tome II, 2010, n° 2485). Selon la jurisprudence, l'ordonnance d'une expertise psychiatrique rendue dans le cadre de l'instruction de mesures de protection est toujours susceptible de provoquer un dommage difficilement réparable (arrêt du Tribunal fédéral 5A_655/2013 consid. 2.3).</w:t>
      </w:r>
    </w:p>
    <w:p>
      <w:r>
        <w:rPr>
          <w:b/>
        </w:rPr>
        <w:t>E. 1.4</w:t>
      </w:r>
    </w:p>
    <w:p>
      <w:r>
        <w:t>Dans la mesure de ce qui précède, l'ordonnance querellé étant susceptible de provoquer un dommage difficilement réparable, le recours direct contre celle-ci est également recevable de ce point de vue.</w:t>
      </w:r>
    </w:p>
    <w:p>
      <w:r>
        <w:rPr>
          <w:b/>
        </w:rPr>
        <w:t>E. 1.5</w:t>
      </w:r>
    </w:p>
    <w:p>
      <w:r>
        <w:t>La Chambre de surveillance examine la cause librement, en fait, en droit et sous l'angle de l'opportunité (art. 450a CC). Elle établit les faits d'office et n'est pas liée par les conclusions des parties (art. 446 al. 1 et 3 CC).</w:t>
      </w:r>
    </w:p>
    <w:p>
      <w:r>
        <w:t>- 4/5 -</w:t>
      </w:r>
    </w:p>
    <w:p>
      <w:r>
        <w:t>C/3861/2022-CS</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applique le droit d'office (al. 4). En pratique, la mise en œuvre de l'art. 446 CC s'effectue tout d'abord essentiellement par la recherche d'informations sous forme de titres, p.ex.: extraits de registres, certificats médicaux, etc., et par l'audition des intéressés et de tiers (MARANTA, Basler Kommentar, Zivilgestzbuch I, 2022, no 13ss ad art. 446). L'ordonnance d'une expertise psychiatrique n'a lieu que lorsqu'elle est jugée nécessaire, soit en particulier lorsque le trouble psychique ou la faiblesse d'esprit entre sérieusement en ligne de compte et quand l'autorité de protection, composée elle-même de spécialistes, estime ne pas être en mesure de se prononcer à ce sujet (MARANTA, idem, no 17-19 ad art. 446).</w:t>
      </w:r>
    </w:p>
    <w:p>
      <w:r>
        <w:rPr>
          <w:b/>
        </w:rPr>
        <w:t>E. 2.2</w:t>
      </w:r>
    </w:p>
    <w:p>
      <w:r>
        <w:t>En l'espèce, le Tribunal de protection a ordonné la mesure d'expertise psychiatrique du recourant après avoir procédé à la récolte usuelle d'éléments de preuve et à l'audition des parties. La première n'a pas abouti, prima facie, à la mise en évidence de problèmes particuliers. C'est à la suite de l'audition de l'intéressé que l'expertise a été ordonnée. Or, si certes il n'existe pas de hiérarchie des preuves et que l'autorité de protection instruit d'office comme rappelé plus haut, il n'en demeure pas moins que l'ordonnance d'une expertise psychiatrique ne doit être délivrée qu'aux conditions rappelées ci-dessus. En particulier, elle doit être nécessaire. Elle l'est d'une part, lorsque l'autorité, composée de spécialistes, n'est pas en mesure d'apprécier elle-même les capacités de la personne. Elle l'est d'autre part, lorsqu'un trouble psychique ou une faiblesse d'esprit entre sérieusement en considération. Or, en l'espèce, le dossier ne contient même pas de certificat médical relatif au recourant qui pourrait laisser penser qu'une investigation supplémentaire par le biais d'une expertise serait nécessaire. Il faut rappeler que la contrainte d'un examen psychiatrique n'est pas anodine et que c'est la raison pour laquelle la jurisprudence admet qu'elle est susceptible de causer un préjudice difficilement réparable à celui qui doit la subir. Enfin, le dossier contient le rapport d'un examen neurologique favorable du recourant, sur la base duquel il a pu obtenir à nouveau l'autorisation de conduire. Par conséquent et en l'état, sans préjudice de la suite de la procédure, la mesure probatoire ordonnée apparaît prématurée et excessive.</w:t>
      </w:r>
    </w:p>
    <w:p>
      <w:r>
        <w:rPr>
          <w:b/>
        </w:rPr>
        <w:t>E. 3</w:t>
      </w:r>
    </w:p>
    <w:p>
      <w:r>
        <w:t>Vu l'issue du recours, les frais judiciaires seront arrêtés à 600 fr. et laissés à la charge de l'Etat de Genève (art. 106 al. 1 CPC). L'avance de frais de 600 fr. fournie par A______ lui sera restituée (art. 111 al. 2 CPC). * * * * *</w:t>
      </w:r>
    </w:p>
    <w:p>
      <w:r>
        <w:t>- 5/5 -</w:t>
      </w:r>
    </w:p>
    <w:p>
      <w:r>
        <w:t>C/3861/2022-CS PAR CES MOTIFS, La Chambre de surveillance : A la forme : Déclare recevable le recours formé le 8 décembre 2022 par A______ contre l'ordonnance DTAE/6905/2022 rendue le 31 août 2022 par le Tribunal de protection de l'adulte et de l'enfant dans la cause C/3861/2022. Au fond : Annule l'ordonnance attaquée. Sur les frais : Arrête les frais judiciaires de recours à 600 fr. et les laisse à la charge de l'Etat de Genève. Invite en conséquence les Services financiers du Pouvoir judiciaire à rembourser la somme de 600 fr. à A______.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