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DAS/30/2020 vom 24. Februar 2020</w:t>
      </w:r>
    </w:p>
    <w:p>
      <w:r>
        <w:t>GE Cour de justice, 2020-02-24, FR</w:t>
      </w:r>
    </w:p>
    <w:p>
      <w:r>
        <w:rPr>
          <w:b/>
        </w:rPr>
        <w:t xml:space="preserve">Quelle: </w:t>
      </w:r>
      <w:r>
        <w:t>https://mcp.opencaselaw.ch/entscheid/ge_gerichte_DAS_30_2020</w:t>
      </w:r>
    </w:p>
    <w:p>
      <w:r>
        <w:t>FR: GE_GERICHTE DAS/30/2020 du 24 février 2020</w:t>
      </w:r>
    </w:p>
    <w:p>
      <w:r>
        <w:t>IT: GE_GERICHTE DAS/30/2020 del 24 febbraio 2020</w:t>
      </w:r>
    </w:p>
    <w:p>
      <w:pPr>
        <w:pStyle w:val="Heading2"/>
      </w:pPr>
      <w:r>
        <w:t>Erwägungen</w:t>
      </w:r>
    </w:p>
    <w:p>
      <w:r>
        <w:rPr>
          <w:b/>
        </w:rPr>
        <w:t>E. 1</w:t>
      </w:r>
    </w:p>
    <w:p>
      <w:r>
        <w:t>Déposé dans les délais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2</w:t>
      </w:r>
    </w:p>
    <w:p>
      <w:r>
        <w:t>Les appelants reprochent à la Chambre civile de ne pas avoir donné suite à leur souhait de voir leur fille porter le nom de A______ et B______.</w:t>
      </w:r>
    </w:p>
    <w:p>
      <w:r>
        <w:rPr>
          <w:b/>
        </w:rPr>
        <w:t>E. 2.1</w:t>
      </w:r>
    </w:p>
    <w:p>
      <w:r>
        <w:t>La décision d'adoption contient toutes les indications nécessaires à l'inscription au registre de l'état civil du prénom, du nom de famille et du droit de cité de la personne adoptée (art. 268 al. 5 CC). L'enfant acquiert le statut juridique d'un enfant du ou des parents adoptifs (art. 267 al. 1 CC). Son nom est déterminé par les dispositions relatives aux effets de la filiation (art. 267a al. 2 CC). L'enfant de conjoints qui portent des noms différents acquiert celui de leurs deux noms de célibataire qu'ils ont choisi de donner à leurs enfants communs lors de la conclusion du mariage (art. 270 al. 1 CC). L'enfant de conjoints qui portent un nom de famille commun acquiert ce nom (art. 270 al. 3 CC). Selon le droit en vigueur lorsque les appelants se sont mariés en juillet 2011, le nom de famille des époux est le nom du mari; la fiancée peut toutefois déclarer à l’officier de l’état civil vouloir conserver le nom qu’elle portait jusqu’alors, suivi du nom de famille (art. 160 al. 1 et 2 aCC). Lorsque l'un des époux porte un double nom, le nom de famille commun est le nom que portent les deux époux et pas le double nom de l'un des conjoints (DE LUZE/DE LUIGI, Le nouveau droit du nom, PJA 2013 p. 505, 514).</w:t>
      </w:r>
    </w:p>
    <w:p>
      <w:r>
        <w:rPr>
          <w:b/>
        </w:rPr>
        <w:t>E. 2.2</w:t>
      </w:r>
    </w:p>
    <w:p>
      <w:r>
        <w:t>A la différence du prénom, les père et mère n'ont pas la prérogative d'attribuer un nom de famille librement formé à l'enfant. Pour des raisons d'ordre public et de sécurité des registres de l'état civil, ainsi que pour répondre à ses fonctions d'identification et de rattachement familial, le nom de famille est déterminé par la loi elle-même (MEIER/STETTTLER, Droit de la filiation, 2019, n. 827 et 828). Lorsque l'adoption est faite par le conjoint du parent, c'est aux conditions de l'art. 30 al. 1 CC que l'enfant adopté doit pouvoir obtenir le droit de conserver le nom porté avant l'adoption (DE LUZE/DE LUIGI, Le nouveau droit du nom, PJA 2013 p. 505, 520). L'art. 30 al. 1 CC prévoit que le gouvernement du canton de domicile peut, s'il existe des motifs légitimes, autoriser une personne à changer de nom.</w:t>
      </w:r>
    </w:p>
    <w:p>
      <w:r>
        <w:t>- 4/5 -</w:t>
      </w:r>
    </w:p>
    <w:p>
      <w:r>
        <w:t>C/26428/2017-CS</w:t>
      </w:r>
    </w:p>
    <w:p>
      <w:r>
        <w:rPr>
          <w:b/>
        </w:rPr>
        <w:t>E. 2.3</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de la Convention relative aux droits de l'enfant, conclue à New York le 20 novembre 1989).</w:t>
      </w:r>
    </w:p>
    <w:p>
      <w:r>
        <w:rPr>
          <w:b/>
        </w:rPr>
        <w:t>E. 2.4</w:t>
      </w:r>
    </w:p>
    <w:p>
      <w:r>
        <w:t>C'est en l'espèce à juste titre que la Chambre civile a dit que l'enfant adopté porterait le nom de famille B______, qui est le nom de famille commun des époux depuis leur mariage célébré en 2011. Le nom de famille de l'enfant n'est pas à la libre disposition des parents et se détermine sur la base d'une stricte application des dispositions du Code civil, dont l'autorité prononçant l'adoption ne peut s'écarter. Il appartiendra en conséquence à l'enfant d'agir par la voie d'une requête en changement de nom si elle souhaite faire valoir un droit à conserver le nom qu'elle portait avant l'adoption. Il n'y a enfin pas lieu de déroger à ce régime, qui respecte l'intérêt supérieur de l'enfant dont se prévalent les appelants en se fondant sur l'art. 3 de la Convention relative aux droits de l'enfant. L'appel sera en conséquence rejeté.</w:t>
      </w:r>
    </w:p>
    <w:p>
      <w:r>
        <w:rPr>
          <w:b/>
        </w:rPr>
        <w:t>E. 3</w:t>
      </w:r>
    </w:p>
    <w:p>
      <w:r>
        <w:t>Les frais judiciaires d'appel, arrêtés à 500 fr. (art. 19 al. 3 let. a LaCC; art. 18 et 35 RTFMC), seront mis à charge des appelants, solidairement entre eux, et compensés avec l'avance qu'ils ont fournie, qui reste acquise à l'Etat de Genève (art. 111 al. 1 CPC). * * * * *</w:t>
      </w:r>
    </w:p>
    <w:p>
      <w:r>
        <w:t>- 5/5 -</w:t>
      </w:r>
    </w:p>
    <w:p>
      <w:r>
        <w:t>C/26428/2017-CS PAR CES MOTIFS, La Chambre de surveillance : A la forme : Déclare recevable l'appel formé le 8 novembre 2019 par A______ et B______ contre la décision ACJC/1542/2019 rendue le 16 octobre 2019 dans la cause C/26428/2017. Au fond : Confirme cette décision. Arrête les frais judiciaires d'appel à 500 fr., les met à la charge de A______ et de B______, solidairement entre eux, et dit qu'ils sont compensés avec l'avance de frais versée, qui reste acquise à l'Etat de Genève. Dit qu'il n'est pas alloué de dépens. Déboute les parties de toutes autres conclusions. Siégeant : Monsieur Patrick CHENAUX, président, Mesdames Verena PEDRAZZINI RIZZI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