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DAS/2/2017 vom 18. August 2016</w:t>
      </w:r>
    </w:p>
    <w:p>
      <w:r>
        <w:t>GE Cour de justice, 2016-08-18, FR</w:t>
      </w:r>
    </w:p>
    <w:p>
      <w:r>
        <w:rPr>
          <w:b/>
        </w:rPr>
        <w:t xml:space="preserve">Quelle: </w:t>
      </w:r>
      <w:r>
        <w:t>https://mcp.opencaselaw.ch/entscheid/ge_gerichte_DAS_2_2017</w:t>
      </w:r>
    </w:p>
    <w:p>
      <w:r>
        <w:t>FR: GE_GERICHTE DAS/2/2017 du 18 août 2016</w:t>
      </w:r>
    </w:p>
    <w:p>
      <w:r>
        <w:t>IT: GE_GERICHTE DAS/2/2017 del 18 agosto 2016</w:t>
      </w:r>
    </w:p>
    <w:p>
      <w:pPr>
        <w:pStyle w:val="Heading2"/>
      </w:pPr>
      <w:r>
        <w:t>Erwägungen</w:t>
      </w:r>
    </w:p>
    <w:p>
      <w:r>
        <w:rPr>
          <w:b/>
        </w:rPr>
        <w:t>E. 1</w:t>
      </w:r>
    </w:p>
    <w:p>
      <w:r>
        <w:t>La loi genevoise de procédure administrative (RS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f LPA). Tel est le cas de la Chambre de surveillance de la Cour de justice, qui fonctionne sur recours comme autorité de surveillance du Registre foncier (art. 152 LaCC; art. 126 al. 1 let. c LOJ).</w:t>
      </w:r>
    </w:p>
    <w:p>
      <w:r>
        <w:t>La procédure, en principe écrite, est régie par la maxime d'office (art. 18 à 20 LPA).</w:t>
      </w:r>
    </w:p>
    <w:p>
      <w:r>
        <w:rPr>
          <w:b/>
        </w:rPr>
        <w:t>E. 2</w:t>
      </w:r>
    </w:p>
    <w:p>
      <w:r>
        <w:t>Le recours a été interjeté dans les forme et délai prévus par la loi (art. 956a et 956b CC; art. 164 al. 2 LaCC), étant précisé que les délais en jours fixés par la loi ne courent pas du 15 juillet au 15 août inclusivement (art. 63 al. 1 let. b LPA). Il a été déposé auprès de l'autorité compétente (art. 956a CC; art. 126 al. 1 let. a LOJ; art. 152 et 164 al. 2 LaCC).</w:t>
      </w:r>
    </w:p>
    <w:p>
      <w:r>
        <w:t>- 5/9 -</w:t>
      </w:r>
    </w:p>
    <w:p>
      <w:r>
        <w:t>C/16091/2016-CS</w:t>
      </w:r>
    </w:p>
    <w:p>
      <w:r>
        <w:rPr>
          <w:b/>
        </w:rPr>
        <w:t>E. 3</w:t>
      </w:r>
    </w:p>
    <w:p>
      <w:r>
        <w:t>Propriétaire de la parcelle bénéficiaire de la servitude litigieuse, la recourante est touchée personnellement par la décision de refus d'actualisation de l'intitulé de la servitude et a un intérêt digne de protection à ce que la décision soit annulée ou modifiée (art. 60 al. 1 let. b LPA).</w:t>
      </w:r>
    </w:p>
    <w:p>
      <w:r>
        <w:rPr>
          <w:b/>
        </w:rPr>
        <w:t>E. 4.1</w:t>
      </w:r>
    </w:p>
    <w:p>
      <w:r>
        <w:t>La procédure d'établissement du Registre foncier fédéral est fixée par le droit cantonal (art. 150 et ss LaCC). L'art. 43 Tit. fin. CC précise toutefois que les droits figurant dans les anciens registres publics cantonaux doivent être reportés d'office et que, pour le reste, tous les intéressés doivent être invités, par sommation publique, à faire connaître les droits qui ne seraient pas inscrits dans les anciens registres (STEINAUER, Les droits réels, Tome I, Berne 2012, no 546b, p. 204). L'art. 160 al. 1 LaCC prévoit que l'opération d'introduction du feuillet fédéral est précédée d'une épuration des droits inscrits dans le Registre foncier cantonal. Contrairement à ce qu'une telle dénomination laisse penser, la procédure d'épuration n'a pas pour objet essentiel la radiation de droits existants. Sa raison d'être consiste principalement dans l'inscription conforme des droits réels déjà existants (MUTZNER, Commentaire bernois, n. 1 ad art. 43 Tit. fin. CC). Lorsque la procédure d'épuration est terminée, le Conservateur reporte au Registre foncier les droits admis à la réinscription, qui est soumise à une procédure d'enquête publique (art. 161 al. 1 LaCC). Les propriétaires, créanciers et titulaires de droits réels et personnels sont alors invités, par un avis qui leur est adressé personnellement, à examiner si leurs droits sont réinscrits de manière exacte et complète et à présenter leurs réclamations éventuelles par écrit dans un délai de trente jours (art. 161 al. 2 LaCC). Faute de réclamation, les intéressés sont réputés avoir accepté les nouvelles inscriptions (art. 161 al. 4 LaCC). Après l'enquête, le Conservateur instruit chaque réclamation, au besoin contradictoirement avec les tiers, et statue en notifiant sa décision à chaque intéressé (art. 164 al. 1 LaCC). Cette décision est susceptible de recours auprès de l'autorité de surveillance dans un délai de trente jours (art. 164 al. 2 LaCC).</w:t>
      </w:r>
    </w:p>
    <w:p>
      <w:r>
        <w:rPr>
          <w:b/>
        </w:rPr>
        <w:t>E. 4.2</w:t>
      </w:r>
    </w:p>
    <w:p>
      <w:r>
        <w:t>En l'espèce, la modification de l'intitulé de la servitude du _____ août 1960 pourrait être susceptible de provoquer un usage accru de la servitude de passage inscrite sur la parcelle n° 15_____ au profit de la parcelle n° 4_____. Par conséquent, le Conservateur du Registre foncier est entré en matière à juste titre sur l'opposition à la modification de l'intitulé de la servitude du _____ août 1960, formulée par la propriétaire de la parcelle n° 15_____. Ledit Conservateur a été valablement invité à reconsidérer sa décision par un propriétaire touché dans ses droits. Il n'a pas procédé à une radiation de servitude mais à une retranscription de</w:t>
      </w:r>
    </w:p>
    <w:p>
      <w:r>
        <w:t>- 6/9 -</w:t>
      </w:r>
    </w:p>
    <w:p>
      <w:r>
        <w:t>C/16091/2016-CS servitude existante qu'il a, dans un premier temps, actualisée en modifiant son intitulé, pour revenir, sur réclamation de H_____, à l'intitulé initial de la servitude.</w:t>
      </w:r>
    </w:p>
    <w:p>
      <w:r>
        <w:rPr>
          <w:b/>
        </w:rPr>
        <w:t>E. 5.1</w:t>
      </w:r>
    </w:p>
    <w:p>
      <w:r>
        <w:t>L'art. 160 al. 2 LaCC prescrit que chaque droit est examiné et réinscrit d'office, mais pour autant qu'il soit compatible avec le droit civil (let. a), qu'il ne soit pas impossible à exercer par suite d'une modification de l'état des lieux (let. b), qu'il ne soit pas éteint par suite de l'échéance du terme convenu ou du décès du titulaire d'un droit viager (let. c), qu'il n'ait pas perdu tout intérêt par suite de division du bien-fonds sans application de l'articles 743 CC (let. d) et qu'il ne fasse pas double emploi avec un autre droit inscrit (let. e). Dans le cadre de la procédure d'épuration, d'entente avec les intéressés, le Conservateur du Registre foncier cherche à clarifier la formulation des inscriptions, à éliminer les droits qui n'auraient plus de portée, à inscrire les droits qui ne l'auraient pas été, etc. Il n'est toutefois pas compétent pour trancher des litiges qui peuvent surgir; ceux-ci doivent être portés devant le juge civil (STEINAUER, op. cit., no 546b, p. 204; SCHMID, Commentaire bâlois, n. 28 ad art. 43 Tit. fin. CC). Par ailleurs, l'art. 976 al. 1 CC donne la faculté au Conservateur du Registre foncier de procéder à la radiation des inscriptions qui ont perdu toute valeur juridique, à la requête du propriétaire grevé, ou même d'office. Il est admis qu'une telle procédure est aussi envisageable pour la suppression d'une servitude définitivement et évidemment impossible à exercer ou manifestement inutile, mais cette procédure doit être réservée à des cas tout à fait exceptionnels, l'art. 736 al. 1 CC prévoyant le recours à la voie judiciaire. En tout état, l'hypothèse prévue par l'art. 976 al. 1 CC doit être l'exception, en ce sens qu'il ne doit y être recouru qu'avec circonspection. Le Conservateur ne peut procéder à la radiation sans contrôle préalable du juge que s'il n'a pas de doutes sur l'extinction du droit inscrit et, dans le cas contraire, il doit plutôt acheminer la partie requérante à procéder judiciairement. En effet, l'art. 976 al. 3 CC permet à tout lésé par la radiation d'intenter une action en réinscription, le Tribunal de première instance étant compétent à teneur de l'art. 101 LaCC (ATF 121 II 52 consid. 3a ; STEINAUER, op. cit., no 955b et 964, p. 337 et 341 ; DESCHENAUX, Le registre foncier, in Traité de droit privé suisse, Vol V, Tome II, 2, p. 703). Au vu de ce qui précède, il faut admettre que la procédure d'épuration ne peut aboutir à la radiation de droits que si l'extinction de ceux-ci apparaît évidente, qu'il n'y a aucun doute à ce sujet et qu'il n'y a pas d'opposition formelle de la part des titulaires des droits concernés. Ce qui vaut pour une radiation de servitude vaut également pour une modification ou une actualisation de l'intitulé d'une servitude, si celle-ci est susceptible d'engendrer un usage accru de ladite servitude.</w:t>
      </w:r>
    </w:p>
    <w:p>
      <w:r>
        <w:t>- 7/9 -</w:t>
      </w:r>
    </w:p>
    <w:p>
      <w:r>
        <w:t>C/16091/2016-CS</w:t>
      </w:r>
    </w:p>
    <w:p>
      <w:r>
        <w:rPr>
          <w:b/>
        </w:rPr>
        <w:t>E. 5.2</w:t>
      </w:r>
    </w:p>
    <w:p>
      <w:r>
        <w:t>En l'espèce, la servitude du _____ août 1960 n'a pas perdu toute utilité, bien au contraire. Elle est en effet utilisée par la propriétaire de la parcelle n° 4_____ pour accéder, notamment en véhicule, à sa propriété. Il ressort, à cet égard, clairement des éléments du dossier que les propriétaires des parcelles n° 4_____ et n° 15_____ sont en conflit concernant la nature, l'étendue et l'usage de la servitude litigieuse. A_____ considère que le nouvel intitulé de la servitude 17_____, qu'elle souhaite voir réinscrire sous la dénomination de "passage à pied et véhicules" correspond à l'usage de la servitude depuis son origine, tandis que H_____ souhaite sa retranscription dans les termes de son origine, contestant la possibilité de passer avec des véhicules motorisés. La présente procédure qui n'oppose que A_____ au Registre foncier n'est pas le lieu pour trancher le fond du litige qui oppose les propriétaires des fonds servant et dominant. Ce litige doit être porté devant le Tribunal civil, devant lequel chacune des parties prenantes pourra faire valoir ses moyens de fait et de droit, concernant le but initial convenu de la servitude, la nature, l'étendue et l'utilisation qui en a été faite de manière paisible, régulière et de bonne foi.</w:t>
      </w:r>
    </w:p>
    <w:p>
      <w:r>
        <w:t>Le Conservateur du Registre foncier, quant à lui, n'a fait que se conformer aux principes rappelés ci-dessus en remettant en vigueur, par la décision attaquée, la situation de droit telle qu'elle existait avant la procédure d'épuration. Cette approche était fondée, dans la mesure où il est admis que les contestations doivent être tranchées par le juge civil, le rôle du Conservateur pouvant être, tout au plus, et le cas échéant, celui d'un aimable compositeur (DESCHENAUX, op. cit., p. 463 et 464). Or, les intéressées ne se sont manifestement pas entendues sur le nouvel intitulé de la servitude, de telle sorte que le Registre foncier ne peut que retranscrire l'intitulé correspondant à l'acte d'origine et au plan de servitude, déposés auprès de lui ainsi qu'à l'ancien intitulé de ladite servitude. Le recours à l'autorité de surveillance dans le cadre de la procédure d'épuration n'est ouvert qu'en ce qui concerne les modalités d'exécution et la régularité de la procédure d'épuration. Il n'est toutefois pas possible, comme en l'espèce, pour cette autorité d'entrer en matière sur la contestation soulevée par A_____, dans la mesure où celle-ci a pour objet l'étendue et les effets de la servitude litigieuse. Le moyen invoqué par la recourante relève du seul droit matériel qui échappe à la compétence tant du Registre foncier que de la Chambre de surveillance de ce dernier. La recourante sera renvoyée à mieux agir et son recours rejeté. Au vu de ce qui précède, la décision prise par le Conservateur du Registre foncier le 16 juin 2016 de reporter la servitude 17_____ au registre des servitudes de la Commune de _____ (Genève), sous son intitulé initial de servitude "à char et à talons", doit être confirmée.</w:t>
      </w:r>
    </w:p>
    <w:p>
      <w:r>
        <w:t>- 8/9 -</w:t>
      </w:r>
    </w:p>
    <w:p>
      <w:r>
        <w:t>C/16091/2016-CS</w:t>
      </w:r>
    </w:p>
    <w:p>
      <w:r>
        <w:rPr>
          <w:b/>
        </w:rPr>
        <w:t>E. 6</w:t>
      </w:r>
    </w:p>
    <w:p>
      <w:r>
        <w:t>Un émolument de 1'000 fr. sera mis à la charge de la recourante en application des art. 87 et ss LPA ainsi que des art. 1 et 2 du Règlement sur les frais, émoluments et indemnités en procédure administrative. * * * * *</w:t>
      </w:r>
    </w:p>
    <w:p>
      <w:r>
        <w:t>- 9/9 -</w:t>
      </w:r>
    </w:p>
    <w:p>
      <w:r>
        <w:t>C/16091/2016-CS PAR CES MOTIFS, La Chambre de surveillance : A la forme : Déclare recevable le recours formé le 18 août 2016 par A_____ contre la décision rendue le 16 juin 2016 par le Registre foncier. Au fond : Rejette le recours et confirme la décision attaquée. Condamne A_____ à payer à l'Etat de Genève un émolument de 1'000 fr. Déboute les parties de toutes autres conclusions.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