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DAS/29/2026 vom 4. Februar 2026</w:t>
      </w:r>
    </w:p>
    <w:p>
      <w:r>
        <w:t>GE Cour de justice, 2026-02-04, FR</w:t>
      </w:r>
    </w:p>
    <w:p>
      <w:r>
        <w:rPr>
          <w:b/>
        </w:rPr>
        <w:t xml:space="preserve">Quelle: </w:t>
      </w:r>
      <w:r>
        <w:t>https://mcp.opencaselaw.ch/entscheid/ge_gerichte_DAS_29_2026</w:t>
      </w:r>
    </w:p>
    <w:p>
      <w:r>
        <w:t>FR: GE_GERICHTE DAS/29/2026 du 4 février 2026</w:t>
      </w:r>
    </w:p>
    <w:p>
      <w:r>
        <w:t>IT: GE_GERICHTE DAS/29/2026 del 4 febbraio 2026</w:t>
      </w:r>
    </w:p>
    <w:p>
      <w:pPr>
        <w:pStyle w:val="Heading2"/>
      </w:pPr>
      <w:r>
        <w:t>Erwägungen</w:t>
      </w:r>
    </w:p>
    <w:p>
      <w:r>
        <w:rPr>
          <w:b/>
        </w:rPr>
        <w:t>E. 1.1</w:t>
      </w:r>
    </w:p>
    <w:p>
      <w:r>
        <w:t>Les dispositions de la procédure devant l'autorité de protection de l'adulte sont applicables par analogie aux procédures concernant les mineurs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L'acte de recours doit être motivé, à tout le moins de manière sommaire, afin de respecter l'exigence de motivation (art. 450 al. 3 CC). La motivation doit être suffisamment explicite pour que l'instance de recours puisse la comprendre aisément.</w:t>
      </w:r>
    </w:p>
    <w:p>
      <w:r>
        <w:t>- 12/16 -</w:t>
      </w:r>
    </w:p>
    <w:p>
      <w:r>
        <w:t>C/684/2016-CS L'instance de recours vérifie d'office les conditions de recevabilité (art. 60 CPC).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2.1.3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w:t>
      </w:r>
    </w:p>
    <w:p>
      <w:r>
        <w:t>- 13/16 -</w:t>
      </w:r>
    </w:p>
    <w:p>
      <w:r>
        <w:t>C/684/2016-CS divorce, 2006 p. 122 et réf. citées; MEIER/STETTLER, Droit de la filiation, 6ème éd. n. 1014 ss). Le juge dispose d'un large pouvoir d'appréciation dans la fixation du droit de visite (ATF 122 III 404 consid. 3d = JdT 1998 I 46). 2.2.1 En l’espèce, le recours est faiblement motivé, le recourant s’étant contenté d’affirmer, en substance, que les raisons invoquées par le Tribunal de protection pour confirmer le maintien de la suspension de son droit de visite n’étaient pas fondées. Ce faisant, le recourant n’a pas indiqué en quoi le raisonnement du Tribunal de protection serait erroné ; le recours apparaît dès lors irrecevable. Quoiqu’il en soit, même en admettant que le recours, formé par un justiciable en personne, est recevable, il doit être rejeté pour les raisons qui vont suivre. 2.2.2 Il sera tout d’abord rappelé au recourant que depuis son plus jeune âge, la mineure E______, désormais âgée de 10 ans, a subi plusieurs bouleversements dans sa vie quotidienne : placement en foyer alors qu’elle était âgée de moins de deux mois, puis placement en famille d’accueil et à nouveau en foyer, droit de visite accordé à ses parents, puis suspendu, puis accordé à la mère en milieu thérapeutique, avant d’être à nouveau suspendu. Ces événements ont engendré chez l’enfant de l’anxiété, une grande fragilité et un besoin de stabilité et de prévisibilité. Le recourant ne saurait sérieusement prétendre, comme il l’a pourtant fait tout au long de la procédure, que la garde de l’enfant aurait dû lui être confiée. Il ressort en effet tant de l’expertise psychiatrique rendue en France que de celle effectuée par des experts suisses qu’il présente une personnalité « de type limite », avec des tendances antisociales, diagnostic confirmé par l’attitude violente et injurieuse qu’il a adoptée avec les différents intervenants s’étant occupés de la mineure, rendant toute collaboration impossible ; il est également apparu qu’il est consommateur de cannabis. Au moment où l’enfant a été placée en foyer, le recourant ne semblait pas beaucoup s’en occuper, puisqu’il séjournait fréquemment en France ; sa situation administrative en Suisse n’était pas réglée et il était dépourvu de tout permis de séjour. Par la suite, le recourant s’est installé en France, pays dans lequel il a été incarcéré pendant plusieurs mois, de même qu’en Suisse ; il n’a jamais occupé un emploi stable, travaillant en tant que saisonnier dans différents lieux de villégiature. Le fait que, en dépit de ce qui précède, le recourant persiste à soutenir qu’il aurait été en mesure d’assumer la garde de sa fille démontre à quel point il est peu conscient de ses limites et des besoins d’un jeune enfant. 2.2.3 Ce qui vient d’être relevé ci-dessus demeure valable s’agissant des relations personnelles père-fille.</w:t>
      </w:r>
    </w:p>
    <w:p>
      <w:r>
        <w:t>- 14/16 -</w:t>
      </w:r>
    </w:p>
    <w:p>
      <w:r>
        <w:t>C/684/2016-CS Compte tenu des lacunes parentales, la mineure E______ a dû être placée dès son plus jeune âge. Le recourant, initialement au bénéfice d’un droit de visite, n’a toutefois pas respecté les modalités de celui-ci. Il a commencé par faire fi de la décision de la Chambre de surveillance du 10 novembre 2016, qui lui avait octroyé un droit de visite de deux heures par semaine au sein d’une structure d’accueil parents-enfants, préférant emmener la mineure, âgée de moins de deux ans, dans des parcs, prendre la mouette ou faire du manège et ce en plein hiver. Il a ensuite refusé de raccompagner sa fille au terme de son droit de visite, décidant de l’emmener en France, où elle a pu être récupérée par sa famille d’accueil quelques jours plus tard. Ces comportements démontrent, une fois de plus, l’incapacité du recourant à tenir compte des besoins d’un jeune enfant et à mesurer les conséquences de ses actes sur celui-ci. L’enlèvement de la mineure a conduit le Tribunal de protection à suspendre les relations, le recourant ayant par ailleurs été incité à plusieurs reprises à entreprendre une thérapie visant d’une part à canaliser ses émotions et d’autre part à mieux appréhender son rôle de père. Or, plusieurs années après la suspension complète du droit de visite du recourant, force est de constater que la situation n’a guère évolué. Le recourant a certes produit une attestation, non datée, d’une thérapeute, R______, dont la teneur pour le moins superficielle permet de penser qu’elle a été rédigée sur la seule base des informations non vérifiées fournies par le recourant lui-même. Rien ne permet par ailleurs de retenir que ce suivi se poursuivrait en l’état, le recourant n’ayant produit aucune attestation récente d’un quelconque psychothérapeute. Pour le surplus, le recourant exerce toujours des activités saisonnières, dans les alpes françaises ou dans le sud du pays, de sorte qu’il vit loin de Genève ; sa situation ne saurait par conséquent être qualifiée de stable. Il est par conséquent à craindre que si un droit de visite devait lui être accordé, le recourant ne soit pas en mesure, compte tenu de ses activités saisonnières éloignées de Genève, de l’exercer régulièrement, ce qui ne pourrait qu’avoir un impact négatif sur l’équilibre déjà fragile de la mineure. La reprise d’un droit de visite, même limité, ne saurait par ailleurs se faire sans préparation, compte tenu du fait que le recourant est un étranger pour sa fille, le fait qu’il soit son père biologique n’y changeant rien. Il ressort en outre de la procédure que la mineure a connu récemment une période particulièrement difficile, qui a conduit à la levée de son placement au sein de la famille d’accueil, laquelle constituait son seul point d’ancrage véritable. Il convient dès lors de faire preuve de prudence avant d’intégrer dans la vie de la mineure un père qu’elle ne connaît pas et dont il ne peut être garanti qu’il se montrera assidu sur le long terme dans l’exercice du droit de visite qui pourra lui être octroyé. Au vu de ce qui précède, c’est à raison que le Tribunal de protection a maintenu en l’état la suspension des relations personnelles du recourant avec</w:t>
      </w:r>
    </w:p>
    <w:p>
      <w:r>
        <w:t>- 15/16 -</w:t>
      </w:r>
    </w:p>
    <w:p>
      <w:r>
        <w:t>C/684/2016-CS sa fille, tout en sollicitant de la thérapeute de l’enfant une évaluation sur la pertinence de la reprise du lien avec son père. Le recours, infondé, sera par conséquent rejeté.</w:t>
      </w:r>
    </w:p>
    <w:p>
      <w:r>
        <w:rPr>
          <w:b/>
        </w:rPr>
        <w:t>E. 2.3</w:t>
      </w:r>
    </w:p>
    <w:p>
      <w:r>
        <w:t>Le Tribunal de protection, avant de poursuivre plus avant l’instruction de la cause, sera par ailleurs invité à examiner sa compétence, compte tenu de la procédure de divorce désormais pendante devant le Tribunal de première instance.</w:t>
      </w:r>
    </w:p>
    <w:p>
      <w:r>
        <w:rPr>
          <w:b/>
        </w:rPr>
        <w:t>E. 3</w:t>
      </w:r>
    </w:p>
    <w:p>
      <w:r>
        <w:t>La procédure, qui porte exclusivement sur les relations personnelles, n’est pas gratuite (art. 81 al. 1 LaCC a contrario).</w:t>
      </w:r>
    </w:p>
    <w:p>
      <w:r>
        <w:t>Les frais judiciaires seront fixés à 400 fr., mis à la charge du recourant, qui succombe (art. 106 al. 1 CPC) et compensés avec l’avance de frais versée, qui reste acquise à l’Etat de Genève (art. 111 al. 1 CPC). Il n’y a pas lieu à l’allocation de dépens (art. 107 al. 1 let. c CPC). * * * * *</w:t>
      </w:r>
    </w:p>
    <w:p>
      <w:r>
        <w:t>- 16/16 -</w:t>
      </w:r>
    </w:p>
    <w:p>
      <w:r>
        <w:t>C/684/2016-CS PAR CES MOTIFS, La Chambre de surveillance :</w:t>
      </w:r>
    </w:p>
    <w:p>
      <w:r>
        <w:t>Au fond : Rejette, dans la faible mesure de sa recevabilité, le recours formé par A______ contre l’ordonnance DTAE/3942/2025 rendue le 25 mars 2025 par le Tribunal de protection de l’adulte et de l’enfant dans la cause C/684/2016. Déboute le recourant de toutes ses conclusions. Sur les frais : Arrête les frais judiciaires de recours à 400 fr., les met à la charge de A______ et les compense avec l’avance de frais versée, qui reste acquise à l’Etat de Genève.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