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DAS/29/2016 vom 4. Januar 2016</w:t>
      </w:r>
    </w:p>
    <w:p>
      <w:r>
        <w:t>GE Cour de justice, 2016-01-04, FR</w:t>
      </w:r>
    </w:p>
    <w:p>
      <w:r>
        <w:rPr>
          <w:b/>
        </w:rPr>
        <w:t xml:space="preserve">Quelle: </w:t>
      </w:r>
      <w:r>
        <w:t>https://mcp.opencaselaw.ch/entscheid/ge_gerichte_DAS_29_2016</w:t>
      </w:r>
    </w:p>
    <w:p>
      <w:r>
        <w:t>FR: GE_GERICHTE DAS/29/2016 du 4 janvier 2016</w:t>
      </w:r>
    </w:p>
    <w:p>
      <w:r>
        <w:t>IT: GE_GERICHTE DAS/29/2016 del 4 gennaio 2016</w:t>
      </w:r>
    </w:p>
    <w:p>
      <w:pPr>
        <w:pStyle w:val="Heading2"/>
      </w:pPr>
      <w:r>
        <w:t>Erwägungen</w:t>
      </w:r>
    </w:p>
    <w:p>
      <w:r>
        <w:rPr>
          <w:b/>
        </w:rPr>
        <w:t>E. 1.1</w:t>
      </w:r>
    </w:p>
    <w:p>
      <w:r>
        <w:t>L'art. 12 al. 7 de la loi genevoise sur l'Office de la Jeunesse autorise le directeur du Service de protection des mineurs (ci-après : le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constitue un retrait de garde pris à titre provisionnel (art. 310 et 445 CC).</w:t>
      </w:r>
    </w:p>
    <w:p>
      <w:r>
        <w:rPr>
          <w:b/>
        </w:rPr>
        <w:t>E. 1.2</w:t>
      </w:r>
    </w:p>
    <w:p>
      <w:r>
        <w:t>Les dispositions de la procédure devant l'autorité de protection de l'adulte sont applicables par analogie pour les mesures de protection de l'enfant (art. 314 al. 1 CC).</w:t>
      </w:r>
    </w:p>
    <w:p>
      <w:r>
        <w:rPr>
          <w:b/>
        </w:rPr>
        <w:t>E. 1.3</w:t>
      </w:r>
    </w:p>
    <w:p>
      <w:r>
        <w:t>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w:t>
      </w:r>
    </w:p>
    <w:p>
      <w:r>
        <w:rPr>
          <w:b/>
        </w:rPr>
        <w:t>E. 1.4</w:t>
      </w:r>
    </w:p>
    <w:p>
      <w:r>
        <w:t>En l'espèce, le recours, formé contre une décision ratifiant une "clause-péril" et ordonnant à titre provisionnel un retrait de garde assorti de curatelles a été formé dans le délai légal de dix jours (compte tenu du report de l'échéance du délai de recours venant à échéance un samedi au lundi suivant). Il respecte la forme prescrite, comprend une motivation et des conclusions suffisantes et émane de la détentrice de l'autorité parentale, qui a qualité pour le former. Il est, partant, recevable.</w:t>
      </w:r>
    </w:p>
    <w:p>
      <w:r>
        <w:rPr>
          <w:b/>
        </w:rPr>
        <w:t>E. 1.5</w:t>
      </w:r>
    </w:p>
    <w:p>
      <w:r>
        <w:t>La Chambre de surveillance examine la cause librement, en fait, en droit en en opportunité (art. 450a CC). Elle n'examine cependant la question des mesures probatoires ordonnées qu'avec réserve.</w:t>
      </w:r>
    </w:p>
    <w:p>
      <w:r>
        <w:rPr>
          <w:b/>
        </w:rPr>
        <w:t>E. 2</w:t>
      </w:r>
    </w:p>
    <w:p>
      <w:r>
        <w:t>Visant dans son recours le chiffre 1 du dispositif entrepris, la recourante conteste la ratification de la « clause-péril » prononcée par la direction du SPMi le 27 novembre 2015. Elle conteste également le retrait de la garde et le placement</w:t>
      </w:r>
    </w:p>
    <w:p>
      <w:r>
        <w:t>- 9/12 -</w:t>
      </w:r>
    </w:p>
    <w:p>
      <w:r>
        <w:t>C/13701/2011-CS de sa fille chez son père. A titre subsidiaire, elle conclut au placement de la mineure dans un foyer et à un droit de visite plus large en sa faveur.</w:t>
      </w:r>
    </w:p>
    <w:p>
      <w:r>
        <w:rPr>
          <w:b/>
        </w:rPr>
        <w:t>E. 2.1</w:t>
      </w:r>
    </w:p>
    <w:p>
      <w:r>
        <w:t>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DAS/12/2012,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En l'espèce, la ratification de la "clause-péril" du 27 novembre 2015 ne se justifiait pas. En effet, le fait que la recourante n'ait pas amené sa fille à l'école après avoir quitté la veille le domicile familial pour se réfugier dans un hôtel était insuffisant pour lui retirer, avec effet immédiat, la garde de sa fille. Les éléments du dossier ne permettent au demeurant pas de retenir que C______ se serait retrouvée dans une situation de danger concret si la mesure n'était pas prise. L'intimé a certes allégué que la recourante risquait de repartir aux Philippines avec l'enfant, comme elle l'avait fait en janvier 2014, mais ce fait - contesté – n'était pas à lui seul suffisant pour prononcer la clause-péril. Le chiffre 1 du dispositif de l'ordonnance querellée sera donc annulé.</w:t>
      </w:r>
    </w:p>
    <w:p>
      <w:r>
        <w:rPr>
          <w:b/>
        </w:rPr>
        <w:t>E. 3</w:t>
      </w:r>
    </w:p>
    <w:p>
      <w:r>
        <w:t>La recourante fait valoir que le retrait de garde ne se justifiait pas, d'autres mesures moins incisives pouvant être prises.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w:t>
      </w:r>
    </w:p>
    <w:p>
      <w:r>
        <w:t>- 10/12 -</w:t>
      </w:r>
    </w:p>
    <w:p>
      <w:r>
        <w:t>C/13701/2011-CS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3.2</w:t>
      </w:r>
    </w:p>
    <w:p>
      <w:r>
        <w:t>En l'espèce, il ressort clairement de la procédure et notamment des observations formulées le 13 janvier 2016 par le SPMi que la recourante a montré de nombreuses difficultés psychologiques depuis la naissance de sa fille C______. Depuis que C______ a été placée chez son père, elle évolue de manière positive, notamment grâce à la stabilité de la prise en charge. D'autre part, le lien avec la mère a été maintenu, ce qui semble bénéfique à l'enfant. Si la recourante peut assumer les soins et la prise en charge de C______, le bon développement de la mineure ne peut être garanti au vu des différents comportements inquiétants de la mère. Selon le Service de protection des mineurs, qui se réfère sur ce point aux observations de la Doctoresse ______, psychiatre à l'Unité interdisciplinaire de médecine et de prévention de la violence, la recourante a besoin d'un suivi psychiatrique afin de palier à ses difficultés. Il s'agit d'un processus qui s'inscrit sur le long terme, compte tenu notamment de la complexité des difficultés personnelles de la recourante. En outre, il ressort clairement du constat du Service de protection des mineurs que l'enfant a besoin de stabilité après plusieurs déménagements. Il est nécessaire d'observer les résultats d'un tel travail sur une longue durée avant d'évoquer un retour éventuel de l'enfant auprès de sa mère. Il sera rappelé que la situation de C______ est connue du Service de protection des mineurs depuis 2011 et que l'enfant se voit pris en otage de par le comportement de sa mère, qui, malgré les mesures mises en place, coupe de manière abrupte les relations entre l'enfant et son père. Le Tribunal de protection a retenu que la recourante semblait visiblement dépassée par son propre état psychologique, ainsi que par l'instabilité de sa situation personnelle depuis plusieurs années. Ses propres difficultés paraissaient l'empêcher, pour l'instant du moins de se centrer sur les besoins de l'enfant. Il convenait donc de lui laisser l'opportunité de s'occuper d'elle-même, avec le soutien des professionnels auxquels elle avait fait appel. A cet égard, il était impératif qu'elle poursuive un suivi thérapeutique individuel sérieux et approfondi. La Chambre de surveillance fait siens ces considérants. Il apparaît que la mesure de retrait de garde était justifiée sur mesures provisionnelles. En effet, il apparaît que le placement de la mineure auprès de son père est une solution adéquate pour l'enfant, au regard de son besoin de stabilité accru et de la</w:t>
      </w:r>
    </w:p>
    <w:p>
      <w:r>
        <w:t>- 11/12 -</w:t>
      </w:r>
    </w:p>
    <w:p>
      <w:r>
        <w:t>C/13701/2011-CS nécessité de renouer un lien solide avec ce dernier. Un placement en foyer ne se justifie en revanche pas. Il appartiendra au Tribunal de protection, après avoir instruit la cause, de décider si le retrait de garde et le placement doivent être maintenus, ou si la garde peut être restituée à la recourante. Par conséquent, les chiffres 2 et 3 du dispositif de l'ordonnance querellée seront confirmés.</w:t>
      </w:r>
    </w:p>
    <w:p>
      <w:r>
        <w:rPr>
          <w:b/>
        </w:rPr>
        <w:t>E. 4</w:t>
      </w:r>
    </w:p>
    <w:p>
      <w:r>
        <w:t>Les modalités du droit de visite en faveur de la recourante, à savoir une journée par semaine, avec passage de l'enfant par le Point rencontre, seront confirmées dès lors qu'elles paraissent adéquates. Il est par ailleurs rappelé que les curatrices ont été invitées à préaviser de nouvelles modalités lorsque les circonstances le permettront.</w:t>
      </w:r>
    </w:p>
    <w:p>
      <w:r>
        <w:rPr>
          <w:b/>
        </w:rPr>
        <w:t>E. 5</w:t>
      </w:r>
    </w:p>
    <w:p>
      <w:r>
        <w:t>La curatelle d'organisation et de surveillance du droit de visite (ch. 5 du dispositif), la curatelle d'assistance éducative (ch. 6), la mise sur pied d'un suivi de guidance parentale auprès de la Guidance infantile (ch. 8) et l'invitation aux parents de la mineure à suivre un suivi thérapeutique individuel (ch. 9 et 10) n'ont pas été critiquées. Ces mesures, qui sont adéquates et proportionnées, seront donc confirmées.</w:t>
      </w:r>
    </w:p>
    <w:p>
      <w:r>
        <w:rPr>
          <w:b/>
        </w:rPr>
        <w:t>E. 6</w:t>
      </w:r>
    </w:p>
    <w:p>
      <w:r>
        <w:t>La procédure de recours est gratuite (art. 81 al. 1 LaCC). * * * * *</w:t>
      </w:r>
    </w:p>
    <w:p>
      <w:r>
        <w:t>- 12/12 -</w:t>
      </w:r>
    </w:p>
    <w:p>
      <w:r>
        <w:t>C/13701/2011-CS PAR CES MOTIFS, La Chambre de surveillance : A la forme : Déclare recevable le recours interjeté par A______ contre l'ordonnance DTAE/5542/2015 rendue le 15 décembre 2015 par le Tribunal de protection de l'adulte et de l'enfant dans la cause C/13701/2011-8. Au fond : Annule le chiffre 1 du dispositif de l'ordonnance querellée. Confirme pour le surplus l'ordonnance entreprise. Déboute les parties de toutes autres conclusions. Sur les frais : Dit que la procédure est gratuite.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