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DAS/287/2016 vom 4. November 2015</w:t>
      </w:r>
    </w:p>
    <w:p>
      <w:r>
        <w:t>GE Cour de justice, 2015-11-04, FR</w:t>
      </w:r>
    </w:p>
    <w:p>
      <w:r>
        <w:rPr>
          <w:b/>
        </w:rPr>
        <w:t xml:space="preserve">Quelle: </w:t>
      </w:r>
      <w:r>
        <w:t>https://mcp.opencaselaw.ch/entscheid/ge_gerichte_DAS_287_2016</w:t>
      </w:r>
    </w:p>
    <w:p>
      <w:r>
        <w:t>FR: GE_GERICHTE DAS/287/2016 du 4 novembre 2015</w:t>
      </w:r>
    </w:p>
    <w:p>
      <w:r>
        <w:t>IT: GE_GERICHTE DAS/287/2016 del 4 novembre 2015</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(art. 450 al. 1 CC) dans les trente jours à compter de la notification de la décision (art. 450b al. 1 CC), auprès de la Chambre de surveillance de la Cour de justice (art. 53 al. 1 LaCC).</w:t>
      </w:r>
    </w:p>
    <w:p>
      <w:r>
        <w:t>Déposé dans les délai et forme utile, le recours est recevable.</w:t>
      </w:r>
    </w:p>
    <w:p>
      <w:r>
        <w:rPr>
          <w:b/>
        </w:rPr>
        <w:t>E. 1.2</w:t>
      </w:r>
    </w:p>
    <w:p>
      <w:r>
        <w:t>L'art. 53 LaCC, qui régit de manière exhaustive les actes accomplis par les parties en seconde instance, à l'exclusion du CPC (art. 450 f CC cum art. 31 al. 1 let. c et let. d a contrario LaCC), ne stipulant aucune restriction en matière de faits et de moyens de preuve nouveaux en deuxième instance, ceux invoqués devant la Chambre de céans sont recevables.</w:t>
      </w:r>
    </w:p>
    <w:p>
      <w:r>
        <w:t>Les pièces nouvelles produites par la recourante à l'appui de son recours et de son écriture de réplique seront dès lors admises. Seront en revanche écartées les pièces qu'elle a déposées le 31 octobre 2016, postérieurement à son écriture de réplique et après écoulement du délai qui lui a été fixé à ce titre, étant précisé qu'elles ne sont pas déterminantes pour l'issue du litige.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t>- 7/11 -</w:t>
      </w:r>
    </w:p>
    <w:p>
      <w:r>
        <w:t>C/714/2009-CS</w:t>
      </w:r>
    </w:p>
    <w:p>
      <w:r>
        <w:rPr>
          <w:b/>
        </w:rPr>
        <w:t>E. 2</w:t>
      </w:r>
    </w:p>
    <w:p>
      <w:r>
        <w:t>La recourante sollicite la suppression des relations personnelles entre l'enfant et son père. Elle estime que le droit de visite réservé au père menace l'équilibre psychologique de sa fille, et soutient que le logement du père n'est pas approprié pour accueillir un enfant.</w:t>
      </w:r>
    </w:p>
    <w:p>
      <w:r>
        <w:rPr>
          <w:b/>
        </w:rPr>
        <w:t>E. 2.1</w:t>
      </w:r>
    </w:p>
    <w:p>
      <w:r>
        <w:t>Le père ou la mère qui ne détient pas l'autorité parentale ou la garde ainsi que l'enfant mineur ont réciproquement le droit d'entretenir les relations personnelles indiquées par les circonstances (art. 273 al. 1 CC).</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rPr>
          <w:b/>
        </w:rPr>
        <w:t>E. 2.2</w:t>
      </w:r>
    </w:p>
    <w:p>
      <w:r>
        <w:t>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w:t>
      </w:r>
    </w:p>
    <w:p>
      <w:r>
        <w:t>- 8/11 -</w:t>
      </w:r>
    </w:p>
    <w:p>
      <w:r>
        <w:t>C/714/2009-CS MEIER/STETTLER, Droit de la filiation, Tome II, 3ème éd. 2006, p. 148/149 nos 270/272 et réf. citées, p. 157 no 283 et réf. citées).</w:t>
      </w:r>
    </w:p>
    <w:p>
      <w:r>
        <w:t>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w:t>
      </w:r>
    </w:p>
    <w:p>
      <w:r>
        <w:t>Le juge dispose d'un large pouvoir d'appréciation dans la fixation du droit de visite (ATF 122 III 404 consid. 3d = JdT 1998 I 46).</w:t>
      </w:r>
    </w:p>
    <w:p>
      <w:r>
        <w:rPr>
          <w:b/>
        </w:rPr>
        <w:t>E. 2.3</w:t>
      </w:r>
    </w:p>
    <w:p>
      <w:r>
        <w:t>Il résulte en l'espèce de l'expertise familiale ordonnée par le Tribunal de protection que la mineure ne présente aucun trouble psychique, ni d'entrave à son développement; elle est affectée par les difficultés qui opposent ses parents, et se trouve dans un conflit de loyauté, mais parvient à s'en protéger de manière adéquate. L'enfant est attachée à sa mère et à son père, et souhaite avoir un lien avec chacun d'eux. Les parents présentent tous deux des troubles envahissant partiellement leurs compétences parentales, mais disposent néanmoins de capacités appropriées, d'une autorité et de méthodes éducatives adéquates.</w:t>
      </w:r>
    </w:p>
    <w:p>
      <w:r>
        <w:t>Aucun élément au dossier ne permet de retenir qu'il est préjudiciable à l'enfant d'entretenir des relations personnelles avec son père. Les experts n'ont en particulier relevé aucun signe de maltraitance de la part de ce dernier, ni aucune autre contre-indication à ce que ce dernier exerce un droit de visite. Il résulte par ailleurs du rapport établi par le Service de protection des mineurs le 31 mars 2016 que le logement du père réunit les conditions requises pour l'accueil de sa fille. Les experts et le Service de protection des mineurs préconisent ainsi, dans l'intérêt de l'enfant, que les relations personnelles de ce dernier avec son père soient maintenues.</w:t>
      </w:r>
    </w:p>
    <w:p>
      <w:r>
        <w:t>Le Service de protection des mineurs a en outre relevé que depuis le prononcé de l'ordonnance querellée du 3 septembre 2015, les relations personnelles entre la mineure et son père se sont déroulées de manière conforme à raison d'un jour par semaine, du soir à la sortie de l'école au lendemain matin début de l'école. Père et fille sont contents de se retrouver chaque semaine, peuvent à nouveau partager des moments d'échanges et relations enrichissants pour l'enfant, le lien parent-enfant a pu reprendre dans de bonnes conditions et de manière adéquate, et la collaboration avec le père est bonne. Les modalités du droit de visite adoptées par le Tribunal de protection apparaissent ainsi conformes, dans la mesure où le droit de visite s'est bien déroulé durant l'année scolaire lorsque le passage de l'enfant s'effectuait à l'école. La situation s'est en revanche préjorée au terme de l'année scolaire à fin juin 2016, lorsque la recourante s'est opposée à l'exercice du droit de visite et à l'établissement d'un calendrier du droit de visite en se prévalant de l'annulation des décisions cantonales par le Tribunal fédéral. Ces circonstances s'inscrivent</w:t>
      </w:r>
    </w:p>
    <w:p>
      <w:r>
        <w:t>- 9/11 -</w:t>
      </w:r>
    </w:p>
    <w:p>
      <w:r>
        <w:t>C/714/2009-CS toutefois dans le contexte du conflit judiciaire en cours, et ne conduisent pas à retenir que la réglementation adoptée par le Tribunal de protection est inappropriée. Il est au contraire vraisemblable que la situation pourra évoluer favorablement une fois la présente procédure terminée, et que le droit de visite pourra à nouveau s'exercer de manière plus sereine. Il convient enfin de rappeler ici que la recourante se doit, en vertu de son devoir d'éducation et d'assistance, de favoriser les relations personnelles entre la mineure et son père pour le bon développement de sa fille. Au cas où la recourante ne parviendrait pas à assumer ses devoirs parentaux et respecter les décisions judiciaires réglant les modalités du droit de visite réservé au père de l'enfant, il conviendra d'examiner l'opportunité de modifier l'attribution du droit de garde sur l'enfant.</w:t>
      </w:r>
    </w:p>
    <w:p>
      <w:r>
        <w:t>Il résulte de l'ensemble de ces circonstances que la suppression des relations personnelles sollicitée par la recourante ne se justifie pas.</w:t>
      </w:r>
    </w:p>
    <w:p>
      <w:r>
        <w:t>Le grief soulevé à cet égard est infondé.</w:t>
      </w:r>
    </w:p>
    <w:p>
      <w:r>
        <w:rPr>
          <w:b/>
        </w:rPr>
        <w:t>E. 3.1</w:t>
      </w:r>
    </w:p>
    <w:p>
      <w:r>
        <w:t>Lorsque les circonstances l'exigent, l'autorité de protection de l'enfant nomme un curateur aux fins de surveiller les relations personnelles (art. 308 al. 2 CC). Le curateur aide les parents à organiser et planifier l'exercice du droit de visite (art. 83 al. 1 LaCC).</w:t>
      </w:r>
    </w:p>
    <w:p>
      <w:r>
        <w:t>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in Code civil I, Commentaire romand, PICHONNAZ/FOËX, 2010, n. 30 ad art. 308).</w:t>
      </w:r>
    </w:p>
    <w:p>
      <w:r>
        <w:t>Cette mesure a pour but de faciliter, malgré les tensions existant entre les père et mère, le contact entre l’enfant et le parent qui n’est pas titulaire du droit de garde et de garantir l’exercice du droit de visite (arrêt du TF 5C.102/1998 du 15 juillet 1998, c. 3; cf. également ATF 118 II 241 c. 2c, JdT 1995 I 98).</w:t>
      </w:r>
    </w:p>
    <w:p>
      <w:r>
        <w:rPr>
          <w:b/>
        </w:rPr>
        <w:t>E. 3.2</w:t>
      </w:r>
    </w:p>
    <w:p>
      <w:r>
        <w:t>En l'espèce, le maintien de la curatelle d'organisation et de surveillance des relations personnelles ordonné par le Tribunal de protection est adéquat : il est en effet nécessaire qu'un tiers assiste les parents pour organiser le droit de visite et s'assure que les rencontres entre la mineure et son père se déroulent correctement. Il incombera au curateur d'informer le Tribunal de protection lorsque le droit de visite pourra être élargi de manière conforme au bien de l'enfant, de surveiller le déroulement du droit de visite, en particulier lorsque le passage de l'enfant ne pourra se faire par l'intermédiaire de l'école, et signalera au Tribunal de protection si les relations personnelles ne devaient pas s'exercer de manière conforme.</w:t>
      </w:r>
    </w:p>
    <w:p>
      <w:r>
        <w:t>- 10/11 -</w:t>
      </w:r>
    </w:p>
    <w:p>
      <w:r>
        <w:t>C/714/2009-CS</w:t>
      </w:r>
    </w:p>
    <w:p>
      <w:r>
        <w:rPr>
          <w:b/>
        </w:rPr>
        <w:t>E. 4</w:t>
      </w:r>
    </w:p>
    <w:p>
      <w:r>
        <w:t>La recourante s'est à diverses reprises opposée à l'exercice du droit de visite fixé par le Tribunal de protection, à l'établissement du calendrier y relatif. Sa collaboration avec le Service de protection des mineurs est difficile s'agissant de la mise en œuvre du suivi thérapeutique de l'enfant ou de la guidance parentale. L'attitude qu'elle a adoptée jusqu'à présent justifie en l'occurrence que les mesures ordonnées soient prononcées sous la menace de la peine prévue à l'art. 292 CP. L'ordonnance querellée sera également confirmée sur ce point.</w:t>
      </w:r>
    </w:p>
    <w:p>
      <w:r>
        <w:rPr>
          <w:b/>
        </w:rPr>
        <w:t>E. 5</w:t>
      </w:r>
    </w:p>
    <w:p>
      <w:r>
        <w:t>Les autres mesures prononcées par le Tribunal de protection, à savoir le suivi thérapeutique de l'enfant, la curatelle d'organisation et de surveillance de ce suivi, l'instruction faite aux parents d'entreprendre une guidance parentale sont conformes à l'intérêt de la mineure. Elles ne sont au demeurant pas remises en cause par la recourante.</w:t>
      </w:r>
    </w:p>
    <w:p>
      <w:r>
        <w:t>Elles seront en conséquence confirmées.</w:t>
      </w:r>
    </w:p>
    <w:p>
      <w:r>
        <w:rPr>
          <w:b/>
        </w:rPr>
        <w:t>E. 6</w:t>
      </w:r>
    </w:p>
    <w:p>
      <w:r>
        <w:t>La procédure, qui porte sur la fixation des relations personnelles, n'est pas gratuite (art. 19, 22 et 77 LaCC; 54 Règlement fixant le tarif des frais en matière civile – RTFMC). Les frais de la procédure seront arrêtés à 400 fr., mis à la charge de la recourante, qui succombe, et compensés avec l'avance fournie par cette dernière, qui reste acquise à l'Etat. * * * * *</w:t>
      </w:r>
    </w:p>
    <w:p>
      <w:r>
        <w:t>- 11/11 -</w:t>
      </w:r>
    </w:p>
    <w:p>
      <w:r>
        <w:t>C/714/2009-CS PAR CES MOTIFS, La Chambre de surveillance : A la forme : Déclare recevable le recours formé le 4 novembre 2015 par A______ contre l'ordonnance DTAE/4079/2015 du 3 septembre 2015 rendue par le Tribunal de protection de l'adulte et de l'enfant dans la cause C/714/2009-6. Au fond : Le rejette et confirme l'ordonnance entreprise. Arrête les frais judiciaires à 400 fr., les met à la charge de A______, et les compense avec l'avance fournie par cette dernière, qui reste acquise à l'Etat de Genève. Dit qu'il n'y a pas lieu d'allouer des dépens. Siégeant : Monsieur Cédric-Laurent MICHEL, président; Mesdames Paola CAMPOMAGNANI et Ursula ZEHETBAUER GHAVAMI,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