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DAS/284/2023 vom 20. November 2023</w:t>
      </w:r>
    </w:p>
    <w:p>
      <w:r>
        <w:t>GE Cour de justice, 2023-11-20, FR</w:t>
      </w:r>
    </w:p>
    <w:p>
      <w:r>
        <w:rPr>
          <w:b/>
        </w:rPr>
        <w:t xml:space="preserve">Quelle: </w:t>
      </w:r>
      <w:r>
        <w:t>https://mcp.opencaselaw.ch/entscheid/ge_gerichte_DAS_284_2023</w:t>
      </w:r>
    </w:p>
    <w:p>
      <w:r>
        <w:t>FR: GE_GERICHTE DAS/284/2023 du 20 novembre 2023</w:t>
      </w:r>
    </w:p>
    <w:p>
      <w:r>
        <w:t>IT: GE_GERICHTE DAS/284/2023 del 20 novembre 2023</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rendues sur mesures provisionnelles, peuvent faire l'objet d'un recours auprès de la Chambre de surveillance de la Cour de justice (art. 53 al. 1 LaCC) dans un délai de dix jours à compter de leur notification (art. 445 al. 3 CC).</w:t>
      </w:r>
    </w:p>
    <w:p>
      <w:r>
        <w:t>- 8/12 -</w:t>
      </w:r>
    </w:p>
    <w:p>
      <w:r>
        <w:t>C/23499/2022-CS En l’espèce, le recours a été formé dans le délai utile et selon les formes prescrites, par la mère de la mineure, de sorte qu’il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sont recevables. Les pièces nouvelles produites par les parties seront dès lors admises.</w:t>
      </w:r>
    </w:p>
    <w:p>
      <w:r>
        <w:rPr>
          <w:b/>
        </w:rPr>
        <w:t>E. 2</w:t>
      </w:r>
    </w:p>
    <w:p>
      <w:r>
        <w:t>La recourante s’oppose à un droit de visite surveillé, en présence d’un éducateur AEMO, et sollicite l’établissement d’un droit de visite libre entre elle et sa fille, lors de ses venues à Genève. 2.1.1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w:t>
      </w:r>
    </w:p>
    <w:p>
      <w:r>
        <w:t>- 9/12 -</w:t>
      </w:r>
    </w:p>
    <w:p>
      <w:r>
        <w:t>C/23499/2022-CS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VEZ, Le droit de visite, problèmes récurrents, in Enfant et divorce, 2006 p. 122 et réf. citées; MEIER/STETTLER, Droit de la filiation, 6ème éd. n. 1014 ss). L’établissement d’un droit de visite surveillé nécessite, comme le retrait ou le refus du droit aux relations personnelles selon l’art. 274 CC, des indices concrets de mise en danger du bien de l’enfant. Il ne suffit pas que ce dernier risque abstraitement de subir une mauvaise influence pour qu’un droit de visite surveillé soit instauré (ATF 122 III 404 consid. 3c ; arrêt du Tribunal fédéral 5A_618/2017 du 2 février 2018 consid. 4.2 et les références). Il convient dès lors de faire preuve d’une certaine retenue lors du choix de cette mesure (arrêts du Tribunal fédéral 5A_618/2017 précité consid. 4.2 et les références ; 5A_184/2017 précité consid. 4.1). Le droit de visite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5A_191/2018 du 7 août 2018 consid. 6.2.2.1 ; 5A_618/2017 précité consid. 4.2 et les références, 5A_184/2017 précité consid. 4.1).</w:t>
      </w:r>
    </w:p>
    <w:p>
      <w:r>
        <w:rPr>
          <w:b/>
        </w:rPr>
        <w:t>E. 2.2</w:t>
      </w:r>
    </w:p>
    <w:p>
      <w:r>
        <w:t>En l’espèce, le Tribunal de protection a considéré que le droit de visite devait être organisé librement entre la recourante et sa fille afin de permettre le maintien du lien maternel, malgré la distance qui séparait leurs lieux de vie. Il a cependant précisé, dans les considérants de l'ordonnance, que le droit de visite devait être "supervisé et soutenu" par l'éducateur en charge de la mesure de l'éducation en milieu ouvert (AEMO), qui serait mise en place, en justifiant cette mesure par le fait que la mineure entrait dans l'adolescence, ce qui pouvait s'avérer émotionnellement difficile, et qu'elle disait ressentir de l'amertume à l'égard de sa mère. Les intervenants à la procédure ont compris des considérants de l'ordonnance que le droit de visite librement fixé entre la mère et la fille ne pourrait être exercé</w:t>
      </w:r>
    </w:p>
    <w:p>
      <w:r>
        <w:t>- 10/12 -</w:t>
      </w:r>
    </w:p>
    <w:p>
      <w:r>
        <w:t>C/23499/2022-CS qu'en présence de l'éducateur AEMO mis en place, en s'attachant au terme "supervisé" employé. Il n'est cependant pas certain que cela ait été la volonté du Tribunal de protection, qui ne l'a pas exprimé aussi clairement. Le dispositif de l'ordonnance n'indique en effet pas que le droit de visite doit être supervisé par l'éducateur AEMO mais, à son chiffre 4, qu'il s'exercera librement "avec l'intervention" de l'éducateur en charge de l'AEMO et, à son chiffre 5, que l'AEMO mise en place sera destinée en particulier à "accompagner le droit aux relations personnelles". Quoi qu'il en soit et quelle que soit la compréhension qui doit être faite de l'ordonnance, qui présente une certaine ambigüité concernant le rôle de l'éducateur AEMO dans le cadre du droit de visite de la mère, il ne se justifie pas, au sens de la jurisprudence susmentionnée, que ce droit de visite se déroule en présence d'un éducateur, les motifs avancés par le Tribunal de protection (adolescence et sentiment d'amertume) étant insuffisants pour en restreindre les modalités. Le Tribunal de protection n'a en effet mis en évidence aucun élément de danger permettant de retenir que le droit de visite nécessiterait d'être exercé de manière surveillée et ce, à raison. Les curatrices du SPMi, qui ont toujours préavisé que ce droit de visite s'exerce librement, sans mesure de restriction, ont constaté que les rencontres qui avaient eu lieu entre la mère et la fille s'étaient bien passées, toutes deux parlant et échangeant lors de celles-ci des gestes affectueux, la mère ayant par ailleurs toujours tenu un discours valorisant au sujet de sa fille. Mère et fille ont pu se rencontrer librement à deux reprises, hors présence d'un tiers, avant le départ de la première de Suisse, et échanger par téléphone ou messagerie sans restriction, ce qu'a confirmé le père, sans qu'aucun problème n'ait été relevé. Ce dernier sollicite une mesure de supervision des rencontres au motif que la mineure serait perturbée lors de l'exercice du droit de visite, ce qui ne ressort cependant pas de la procédure. La curatrice d'office, qui préconisait également devant le Tribunal de protection un exercice libre de ce droit de visite, considère, sur recours, qu'il devrait être surveillé durant un certain temps, jusqu'à l'établissement d'un nouveau rapport par le SPMi, en se fondant uniquement sur la traduction du père des prétendus propos tenus par la mineure, rapportant qu'elle ne se sentirait pas en sécurité avec sa mère, ce qui ne ressort pas des rapports établis par les curatrices. Ces dernières, outre les observations favorables sur le droit de visite exercé, ont indiqué que mère et fille leur avait dit qu’elles préféraient se contacter librement, en fonction des disponibilités de chacune. Prévoir que le droit de visite de la recourante sur sa fille soit supervisé par un tiers apparaît ainsi, au vu de l'ensemble des circonstances, et en l'absence d'élément de danger, totalement disproportionné. Par ailleurs, l'éducateur AEMO désigné est en charge d'accompagner le maintien du lien mère-fille, mesure qui est acceptée par la mère et qui est, en l'état, suffisante afin de permettre que les rencontres entre la mineure et la recourante se passent bien, étant précisé qu'une curatelle d'organisation et de surveillance du droit de visite a également été ordonnée et n'a pas été remise en question. Compte tenu de son âge (15 ans), la mineure pourra par ailleurs</w:t>
      </w:r>
    </w:p>
    <w:p>
      <w:r>
        <w:t>- 11/12 -</w:t>
      </w:r>
    </w:p>
    <w:p>
      <w:r>
        <w:t>C/23499/2022-CS parfaitement faire part à l'éducateur AEMO, ou aux curatrices, des difficultés qu'elle pourrait rencontrer lors de l'exercice du droit de visite de sa mère, sans que la présence d'un tiers au cours de celui-ci ne soit nécessaire. Finalement, si les circonstances dans lesquelles la mineure est arrivée à Genève ont été délicates, la mère s'opposant à sa présence en Suisse, la situation s'est depuis lors apaisée, la recourante ne revendiquant plus que la mineure revienne vivre en Guinée Bissau et acceptant un droit de visite sur sa fille lorsqu'elle est de passage à Genève. En conséquence, les chiffres 4 et 6 du dispositif de l'ordonnance litigieuse seront annulés et reformulés entièrement pour plus de clarté, en ce sens que le droit de visite entre la recourante et la mineure pourra s'exercer librement, d'entente entre elles, lors des passages de la recourante à Genève, et que l'éducateur AEMO mis en place sera notamment chargé d'accompagner le maintien du lien entre la mineure et sa mère. Il conviendra cependant de s'interroger sur le fond sur la nécessité de maintenir cette dernière mesure, compte tenu de la curatelle d'organisation et de surveillance du droit de visite d'ores et déjà existante.</w:t>
      </w:r>
    </w:p>
    <w:p>
      <w:r>
        <w:rPr>
          <w:b/>
        </w:rPr>
        <w:t>E. 3</w:t>
      </w:r>
    </w:p>
    <w:p>
      <w:r>
        <w:t>Le recours qui porte sur les relations personnelles n'est pas gratuit (art. 77 LaCC). Les frais judiciaires de recours seront laissés à la charge de l'Etat de Genève, compte tenu du résultat de la procédure de recours, la recourante, qui obtient gain de cause, plaidant par ailleurs au bénéfice de l'assistance judiciaire. Il ne sera pas alloué de dépens.</w:t>
      </w:r>
    </w:p>
    <w:p>
      <w:r>
        <w:t>* * * * *</w:t>
      </w:r>
    </w:p>
    <w:p>
      <w:r>
        <w:t>- 12/12 -</w:t>
      </w:r>
    </w:p>
    <w:p>
      <w:r>
        <w:t>C/23499/2022-CS PAR CES MOTIFS, La Chambre de surveillance : A la forme : Déclare recevable le recours formé le 27 mars 2023 par A______ contre l'ordonnance DTAE/1936/2023 rendue le 28 février 2023 par le Tribunal de protection de l'adulte et de l'enfant dans la cause C/23499/2022. Au fond : Annule les chiffres 4 et 6 de son dispositif. Cela fait, statuant à nouveau : Réserve à A______ un droit aux relations personnelles avec F______ devant s'exercer librement, d'entente entre elles, lors des passages de la première à Genève. Invite les curateurs à mettre en place une Action éducative en milieu ouvert (AEMO) destinée en particulier à maintenir le lien entre A______ et F______. Confirme l'ordonnance pour le surplus.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