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DAS/282/2024 vom 3. Juni 2024</w:t>
      </w:r>
    </w:p>
    <w:p>
      <w:r>
        <w:t>GE Cour de justice, 2024-06-03, FR</w:t>
      </w:r>
    </w:p>
    <w:p>
      <w:r>
        <w:rPr>
          <w:b/>
        </w:rPr>
        <w:t xml:space="preserve">Quelle: </w:t>
      </w:r>
      <w:r>
        <w:t>https://mcp.opencaselaw.ch/entscheid/ge_gerichte_DAS_282_2024</w:t>
      </w:r>
    </w:p>
    <w:p>
      <w:r>
        <w:t>FR: GE_GERICHTE DAS/282/2024 du 3 juin 2024</w:t>
      </w:r>
    </w:p>
    <w:p>
      <w:r>
        <w:t>IT: GE_GERICHTE DAS/282/2024 del 3 giugno 2024</w:t>
      </w:r>
    </w:p>
    <w:p>
      <w:pPr>
        <w:pStyle w:val="Heading2"/>
      </w:pPr>
      <w:r>
        <w:t>Erwägungen</w:t>
      </w:r>
    </w:p>
    <w:p>
      <w:r>
        <w:rPr>
          <w:b/>
        </w:rPr>
        <w:t>E. 1</w:t>
      </w:r>
    </w:p>
    <w:p>
      <w:r>
        <w:t>1.1 Les décisions de l'autorité de protection peuvent faire l'objet d'un recours auprès de la Chambre de surveillance de la Cour de justice (450 al. 1 CC; art. 53 al. 1 LaCC; art. 126 al. 1 let. b LOJ). Ont qualité pour recourir les personnes parties à la procédure (art. 450 al. 2 ch. 1 CC). Le délai de recours est</w:t>
      </w:r>
    </w:p>
    <w:p>
      <w:r>
        <w:t>- 6/11 -</w:t>
      </w:r>
    </w:p>
    <w:p>
      <w:r>
        <w:t>C/24679/2020-CS de trente jours à compter de la notification de la décision (art. 450b al. 1 CC; art. 53 al. 2 LaCC applicable par renvoi de l'art. 314 al. 1 CC). En l’espèce, le recours a été formé par le père des deux mineurs faisant l’objet de la mesure de protection, dans le délai utile de trente jours et devant l'autorité compétente; il est donc recevable à la forme.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Les pièces nouvelles produites par le recourant à l'appui de son recours sont recevables, l'art. 53 LaCC ne prévoyant aucune limitation au dépôt en procédure de recours de pièces nouvelles.</w:t>
      </w:r>
    </w:p>
    <w:p>
      <w:r>
        <w:rPr>
          <w:b/>
        </w:rPr>
        <w:t>E. 1.4</w:t>
      </w:r>
    </w:p>
    <w:p>
      <w:r>
        <w:t>En principe, il n’y a pas de débats devant la Chambre de surveillance de la Cour de justice, sauf en matière de placement à des fins d’assistance (art. 53 al. 5 LaCC). En l’espèce, il ne se justifie pas de déroger à la règle figurant à l’art. 53 al. 5 LaCC. Le dossier est en effet suffisamment instruit et la cause en état d’être jugée. Les mesures d’instruction sollicitées par le recourant seront ainsi rejetées.</w:t>
      </w:r>
    </w:p>
    <w:p>
      <w:r>
        <w:rPr>
          <w:b/>
        </w:rPr>
        <w:t>E. 2</w:t>
      </w:r>
    </w:p>
    <w:p>
      <w:r>
        <w:t>Le recourant soulève une violation de son droit d’être entendu, au motif qu’il n’a pas pu s’exprimer sur la question de l’instauration d’une curatelle de gestion des biens des mineurs, ni en audience ni par écrit, avant le prononcé de la décision. Il soutient également dans sa partie en fait, sans discuter cet argument en droit, que la décision du Tribunal de protection ne serait pas suffisamment motivée. 2.1.1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w:t>
      </w:r>
    </w:p>
    <w:p>
      <w:r>
        <w:rPr>
          <w:b/>
        </w:rPr>
        <w:t>E. 3</w:t>
      </w:r>
    </w:p>
    <w:p>
      <w:r>
        <w:t>décembre 2013 consid. 3.3.1; ATF 127 III 193 consid. 3). Toutefois, le droit d'être entendu n'est pas une fin en soi. Il constitue un moyen d'éviter qu'une procédure judiciaire ne débouche sur un jugement vicié en raison</w:t>
      </w:r>
    </w:p>
    <w:p>
      <w:r>
        <w:t>- 7/11 -</w:t>
      </w:r>
    </w:p>
    <w:p>
      <w:r>
        <w:t>C/24679/2020-CS de la violation du droit des parties de participer à la procédure. Lorsqu'on ne voit pas quelle influence la violation du droit d'être entendu a pu avoir sur la procédure, il n'y a pas lieu d'annuler la décision attaquée (ATF 143 IV 380 consid. 1.4.1; arrêt du Tribunal fédéral 1C_229/2020 du 27 août 2020 consid. 2.1). Par ailleurs,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 L'appelant ne peut alors pas se contenter de se plaindre de cette violation, mais doit exercer son droit d'être entendu (arrêt du Tribunal fédéral 5A_925/2015 du</w:t>
      </w:r>
    </w:p>
    <w:p>
      <w:r>
        <w:rPr>
          <w:b/>
        </w:rPr>
        <w:t>E. 3.2</w:t>
      </w:r>
    </w:p>
    <w:p>
      <w:r>
        <w:t>En l’espèce, les mineurs sont placés et des mesures de curatelle avaient d’ores et déjà été ordonnées en vue de gérer leur assurance-maladie et leurs frais médicaux, faire valoir leur créance alimentaire et financer leur placement. Les mineurs disposent de revenus puisqu’ils sont les destinataires de prestations de l’assurance-invalidité et de prestations de l’assurance complémentaire de leur père, lesquelles doivent servir à leur entretien, ce qui n’est pas contesté par ce dernier. Celui-ci relève, à juste titre, qu’une curatelle de gestion des biens des mineurs ne peut être ordonnée que lors de l’existence d’un danger concret et objectif mettant en péril les biens de l’enfant du fait des titulaires de l’autorité parentale. Or, le recourant fait lui-même la démonstration dans son recours de la mise en danger des biens des mineurs par son comportement et celui de son épouse. Il précise en effet qu’il a toujours informé le SPMi lorsqu’il avait du retard dans le paiement des factures des enfants (allégué 26), prétendant ensuite n’avoir reçu aucune facture concernant le placement des enfants depuis novembre 2023, alors que L______ du SPMi lui avait indiqué qu’il apparaissait dans le système de facturation du SPMi que les factures lui avaient bel et bien été envoyées (allégué 27), pour justifier finalement subir des vols de courriers, dont il a tenté d’informer le SPMi dès le mois de février 2024 (allégé 28). Même si le recourant soutient qu’il s’est inquiété de ne recevoir aucune facture concernant les mineurs et d’avoir tenté d’en informer la gestionnaire du SPMi et les curateurs des mineurs, il n’en demeure pas moins que cette situation est de nature à causer un préjudice à l’intérêt des mineurs, leurs biens n’étant pas gérés de manière convenable. Outre ces prétendus vols de courriers, le recourant reconnaît avoir pris du retard dans le paiement des factures des mineurs, de sorte qu’il n’est pas impossible que les rentes complémentaires de l’assurance- invalidité destinées aux enfants aient servi au paiement d’autres factures ne les concernant pas. L’email de L______ produit, de même que le relevé des versements effectués par le recourant, démontrent que s’il s’est montré régulier dans le versement de l’entretien des mineurs depuis la mise à jour de sa situation en mars 2023 et qu'il a informé la gestionnaire du SPMi s’il ne parvenait pas à régler les factures afin d’obtenir un report de paiement; les versements ont cependant été interrompus depuis le mois de décembre 2023. Au vu de ces problèmes - quelle qu’en soit l’origine (non réception des factures et/ou vols de courriers allégués par le recourant) – et afin d’éviter qu’ils ne se reproduisent, il est dans l’intérêt des mineurs que les rentes complémentaires de l’assurance-invalidité et les prestations de l’assurance complémentaire dont les mineurs sont les destinataires soient versées directement en mains de leurs curateurs.</w:t>
      </w:r>
    </w:p>
    <w:p>
      <w:r>
        <w:t>- 10/11 -</w:t>
      </w:r>
    </w:p>
    <w:p>
      <w:r>
        <w:t>C/24679/2020-CS Au vu des circonstances du cas d’espèce, il n’apparaît ainsi pas disproportionné, contrairement à ce que soutient le recourant, qu’une curatelle de gestion des biens des mineurs soit ordonnée, cette mesure apparaissant au contraire parfaitement proportionnée, adéquate et conforme à leur intérêt. Le recours sera rejeté.</w:t>
      </w:r>
    </w:p>
    <w:p>
      <w:r>
        <w:rPr>
          <w:b/>
        </w:rPr>
        <w:t>E. 4</w:t>
      </w:r>
    </w:p>
    <w:p>
      <w:r>
        <w:t>La procédure est gratuite s’agissant d’une mesure de protection des mineurs (art. 81 al. 1 LaCC). Il n’y a pas lieu à allocation de dépens. * * * * *</w:t>
      </w:r>
    </w:p>
    <w:p>
      <w:r>
        <w:t>- 11/11 -</w:t>
      </w:r>
    </w:p>
    <w:p>
      <w:r>
        <w:t>C/24679/2020-CS PAR CES MOTIFS, La Chambre de surveillance : A la forme : Déclare recevable le recours formé le 3 juin 2024 par A______ contre l’ordonnance DTAE/2921/2024 rendu le 12 février 2024 par le Tribunal de protection de l’adulte et de l’enfant dans la cause C/24679/2020. Au fond : Le rejette. Sur les frais : Dit que la procédure est gratuite et qu’il n’y a pas lieu à allocation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