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DAS/27/2026 vom 26. Januar 2026</w:t>
      </w:r>
    </w:p>
    <w:p>
      <w:r>
        <w:t>GE Cour de justice, 2026-01-26, FR</w:t>
      </w:r>
    </w:p>
    <w:p>
      <w:r>
        <w:rPr>
          <w:b/>
        </w:rPr>
        <w:t xml:space="preserve">Quelle: </w:t>
      </w:r>
      <w:r>
        <w:t>https://mcp.opencaselaw.ch/entscheid/ge_gerichte_DAS_27_2026</w:t>
      </w:r>
    </w:p>
    <w:p>
      <w:r>
        <w:t>FR: GE_GERICHTE DAS/27/2026 du 26 janvier 2026</w:t>
      </w:r>
    </w:p>
    <w:p>
      <w:r>
        <w:t>IT: GE_GERICHTE DAS/27/2026 del 26 gennaio 2026</w:t>
      </w:r>
    </w:p>
    <w:p>
      <w:pPr>
        <w:pStyle w:val="Heading2"/>
      </w:pPr>
      <w:r>
        <w:t>Erwägungen</w:t>
      </w:r>
    </w:p>
    <w:p>
      <w:r>
        <w:rPr>
          <w:b/>
        </w:rPr>
        <w:t>E. 1</w:t>
      </w:r>
    </w:p>
    <w:p>
      <w:r>
        <w:t>1.1.1 Les dispositions de la procédure devant l'autorité de protection de l'adulte sont applicables par analogie aux procédures concernant des mineurs (art. 314 al. 1 CC). Les décisions de l'autorité de protection peuvent faire l'objet d'un recours auprès de la Chambre de surveillance de la Cour de justice (art. 450 al. 1 CC et 53 al. 1 LaCC). 1.1.2 La motivation du recours doit être suffisamment explicite pour que l'instance de recours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w:t>
      </w:r>
    </w:p>
    <w:p>
      <w:r>
        <w:rPr>
          <w:b/>
        </w:rPr>
        <w:t>E. 1.2</w:t>
      </w:r>
    </w:p>
    <w:p>
      <w:r>
        <w:t>En l’espèce, le recours a été interjeté par une personne ayant qualité pour recourir, dans le délai utile de trente jours et suivant la forme prescrite, de sorte qu’il est recevable s’agissant de ces points (art. 450 al. 2 et 3 et 450b CC). Le recours est certes peu motivé. Il l’est toutefois suffisamment pour que la Chambre de surveillance comprenne que la recourante conteste les modalités du droit de visite imposées par le Tribunal de protection, ainsi que le maintien de l’inscription dans les registres RIPOL/SIS, estimant que ces mesures n’apparaissent pas justifiées au regard du dossier. Au vu de ce qui précède, le recours sera déclaré recevable.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w:t>
      </w:r>
    </w:p>
    <w:p>
      <w:r>
        <w:t>- 8/11 -</w:t>
      </w:r>
    </w:p>
    <w:p>
      <w:r>
        <w:t>C/12913/2024-CS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2.1.3 L’autorité de protection de l’enfant prend les mesures nécessaires pour protéger l’enfant si son développement est menacé et que les père et mère n’y</w:t>
      </w:r>
    </w:p>
    <w:p>
      <w:r>
        <w:t>- 9/11 -</w:t>
      </w:r>
    </w:p>
    <w:p>
      <w:r>
        <w:t>C/12913/2024-CS remédient pas d’eux-mêmes ou soient hors d’état de le faire (art. 307 al. 1 CC). Elle peut, en particulier, rappeler les père et mère à leurs devoirs, donner des indications ou instructions relatives au soin, à l’éducation et à la formation de l’enfant (…) (art. 307 al. 3 CC). 2.2.1 Sur mesures superprovisionnelles prononcées le 3 mars 2025, le Tribunal de protection a réservé à la recourante un droit de visite à raison d’une visite par semaine en « un pour un » au sein du Point rencontre ; il a également exhorté la mère à entreprendre un bilan psychiatrique ainsi qu’un suivi thérapeutique individuel et une guidance parentale. Il ressort de la procédure que la recourante a en réalité bénéficié d’un droit de visite au sein du Point rencontre en modalité « accueil ». Elle a profité de cette mesure moins restrictive pour enregistrer les discussions avec ses enfants, ce qui a permis au SPMi de constater qu’elle leur posait des questions orientées et par conséquent peu adéquates. Compte tenu du comportement de la recourante et de ses difficultés à prendre en charge ses enfants, des doutes ont surgi sur l’existence éventuelle de troubles psychologiques, raison pour laquelle le Tribunal de protection, dans sa décision du 3 mars 2025, l’avait exhortée à entreprendre un bilan psychiatrique et un suivi thérapeutique. Or, il ne semble pas que cette exhortation ait été suivie d’effets. Le seul certificat qui figure au dossier date en effet du 12 mai 2025. Il fait état d’un suivi ayant débuté au mois de mars, soit moins de deux mois auparavant, lequel n’était toutefois pas destiné à durer. La recourante n’ayant produit aucun certificat plus récent à l’appui de son recours, il y a lieu de penser que son suivi a pris fin à une date indéterminée. Par ailleurs, le contenu du certificat du 12 mai 2025 interpelle, tant son contenu est en contradiction avec les éléments qui ressortent du dossier. Selon les signataires de ce document, la recourante faisait en effet preuve de toutes les qualités nécessaires pour s’occuper de ses enfants, alors même que ses manquements ont conduit à ce que la garde de ceux-ci lui soit retirée. De même, selon ce certificat, la recourante montrait une aptitude manifeste à concilier vie professionnelle et personnelle. Or, la recourante n’exerce aucune activité lucrative, est à la charge de l’hospice général et il est même douteux qu’elle ait effectivement poursuivi à distance des études de médecine. L’attestation en question semble par conséquent avoir été rédigée pour les besoins de la cause, sur la seule base des informations, non vérifiées, fournies par la recourante elle-même. Ce document ne permet dès lors pas de retenir que cette dernière ne souffre d’aucun trouble psychologique et ne nécessite pas d’un suivi. Les inquiétudes au sujet de la recourante, relevées par le SPMi, sont renforcées par les derniers éléments du dossier, lesquels, quand bien même ils ne sont pas tous confirmés, permettent néanmoins de retenir que la recourante était, durant l’été 2025, enceinte d’un troisième enfant, situation de nature à augmenter la fragilité constatée par les divers intervenants.</w:t>
      </w:r>
    </w:p>
    <w:p>
      <w:r>
        <w:t>- 10/11 -</w:t>
      </w:r>
    </w:p>
    <w:p>
      <w:r>
        <w:t>C/12913/2024-CS Au vu de ce qui précède, le droit de visite fixé par le Tribunal de protection dans l’ordonnance attaquée paraît adéquat en l’état. Contrairement à ce qu’a soutenu la recourante, il n’a pas été fixé sur la seule base d’observations de l’intervenante AEMO, mais sur l’ensemble des éléments qui ressortent du dossier. Il appartiendra à la recourante de prendre toutes mesures utiles visant à rassurer les divers intervenants relativement à sa capacité de prendre en charge ses enfants de manière adéquate, de manière à permettre un élargissement de son droit de visite. 2.2.2 La recourante conteste le maintien de l’inscription aux registres RIPOL/SIS de la police. Elle n’expose toutefois pas en quoi le maintien de cette inscription lui porterait préjudice si, comme elle l’affirme, elle n’a aucune intention de quitter le territoire suisse avec ses enfants, sur lesquels elle n’a, en l’état, qu’un droit de visite très limité. Il est par conséquent douteux que le recours soit recevable sur ce point. Quoiqu’il en soit, la recourante a, à plusieurs reprises, manifesté sa volonté de s’installer dans son pays d’origine avec les enfants. Ses déclarations ne sauraient être prises à la légère, étant rappelé que la recourante est de nationalité tunisienne et qu’elle n’a aucune famille en Suisse. Sa situation en Suisse est par ailleurs précaire puisqu’elle n’exerce aucune profession, ne poursuit pas d’études, ayant elle-même affirmé les avoir mises en suspens, pour autant qu’elles aient réellement été suivies par le passé, et est entièrement à la charge de l’Hospice général. Au vu de ce qui précède, il ne saurait être fait grief au Tribunal de protection d’avoir maintenu l’inscription litigieuse.</w:t>
      </w:r>
    </w:p>
    <w:p>
      <w:r>
        <w:rPr>
          <w:b/>
        </w:rPr>
        <w:t>E. 2.3</w:t>
      </w:r>
    </w:p>
    <w:p>
      <w:r>
        <w:t>Infondé, le recours sera intégralement rejeté.</w:t>
      </w:r>
    </w:p>
    <w:p>
      <w:r>
        <w:rPr>
          <w:b/>
        </w:rPr>
        <w:t>E. 3</w:t>
      </w:r>
    </w:p>
    <w:p>
      <w:r>
        <w:t>La procédure, qui porte pour l’essentiel sur les relations personnelles, n’est pas gratuite (art. 81 al. 1 LaCC). Les frais judiciaires de recours seront arrêtés à 600 fr., mis à la charge de la recourante, qui succombe, et provisoirement assumés par l’Etat de Genève, compte tenu du bénéfice de l’assistance judiciaire.</w:t>
      </w:r>
    </w:p>
    <w:p>
      <w:r>
        <w:t>Il n’y a pas lieu à l’allocation de dépens. * * * * *</w:t>
      </w:r>
    </w:p>
    <w:p>
      <w:r>
        <w:t>- 11/11 -</w:t>
      </w:r>
    </w:p>
    <w:p>
      <w:r>
        <w:t>C/12913/2024-CS PAR CES MOTIFS, La Chambre de surveillance : A la forme : Déclare recevable le recours formé par A______ contre l’ordonnance DTAE/6812/2025 rendue le 28 mai 2025 par le Tribunal de protection de l’adulte et de l’enfant dans la cause C/12913/2024. Au fond : Le rejette. Sur les frais : Arrête les frais judiciaires de recours à 600 fr., les met à la charge de A______ et les laisse provisoirement à la charge de l’Etat de Genève. Dit qu’il n’y a pas lieu à l’allocation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