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DAS/27/2016 vom 30. Oktober 2015</w:t>
      </w:r>
    </w:p>
    <w:p>
      <w:r>
        <w:t>GE Cour de justice, 2015-10-30, FR</w:t>
      </w:r>
    </w:p>
    <w:p>
      <w:r>
        <w:rPr>
          <w:b/>
        </w:rPr>
        <w:t xml:space="preserve">Quelle: </w:t>
      </w:r>
      <w:r>
        <w:t>https://mcp.opencaselaw.ch/entscheid/ge_gerichte_DAS_27_2016</w:t>
      </w:r>
    </w:p>
    <w:p>
      <w:r>
        <w:t>FR: GE_GERICHTE DAS/27/2016 du 30 octobre 2015</w:t>
      </w:r>
    </w:p>
    <w:p>
      <w:r>
        <w:t>IT: GE_GERICHTE DAS/27/2016 del 30 ottobre 2015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t>- 6/11 -</w:t>
      </w:r>
    </w:p>
    <w:p>
      <w:r>
        <w:t>C/18158/2014-CS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Lorsqu'elle statue sur l'autorité parentale, l'autorité de protection de l'enfant règle également les autres points litigieux, l'action alimentaire étant réservée (art. 298b al. 3 CC).</w:t>
      </w:r>
    </w:p>
    <w:p>
      <w:r>
        <w:t>Les nouvelles dispositions du Code civil relatives à l'autorité parentale sont entrées en vigueur le 1er juillet 2014 (RO 2014 357).</w:t>
      </w:r>
    </w:p>
    <w:p>
      <w:r>
        <w:t>Contrairement à ce qui prévalait précédemment, l'attribution de l'autorité parentale conjointe aux parents divorcés (art. 133 CC) ou non mariés (art. 298a CC) est désormais la règle (HAUSHEER/GEISER/AEBI-MÜLLER, Das Familienrecht des Schweizerischen Zivilgasetzbuches, 5e éd. Berne 2014, n° 10.135 p. 188), sans qu'un accord des parents sur ce point ne soit nécessaire.</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- 7/11 -</w:t>
      </w:r>
    </w:p>
    <w:p>
      <w:r>
        <w:t>C/18158/2014-CS 2.2.1 Dans le cas d'espèce, l'autorité parentale conjointe, sur laquelle les parties ont pris des conclusions d'accord devant le Tribunal de protection, n'est pas remise en cause dans le cadre du recours contre la décision du 26 août 2015; elles est dès lors acquise, étant relevé que c'est à juste titre que les premiers juges ont entériné, sur ce point, l'accord des parties. Celles-ci ne s'opposent en réalité que sur les termes de "garde partagée" et sur la prise en charge de C______ le mercredi soir. Conformément à la jurisprudence rappelée ci-dessus, la notion de garde partagée correspond à la situation dans laquelle les parents, qui exercent en commun l'autorité parentale, prennent en charge leur enfant de manière alternée pour des périodes plus ou moins égales. Par conséquent, si la garde partagée ou alternée n'exige pas une prise en charge absolument identique des deux parents, elle implique néanmoins qu'elle soit à tout le moins similaire. Tel n'a jamais été le cas en l'espèce. En effet et selon ce qui ressort de la procédure, C______ a, à compter de la séparation de ses parents, toujours vécu avec sa mère. Dans la mesure où celle-ci travaille à temps complet, l'enfant est gardé pendant la semaine par une maman de jour ou par sa grand-mère maternelle, lesquelles sont mises en œuvre par la recourante seule et, ce qui n'a jamais été contesté, sous sa seule responsabilité. C______ ne passe avec son père que la soirée du mercredi, à partir de 18h00, jusqu'au lendemain matin 8h00, la soirée du dimanche à partir de 18h00 jusqu'au lendemain matin 8h00, un week-end sur deux du vendredi 18h00 jusqu'au lundi matin 8h00 et quatre semaines de vacances par année. Bien qu'C______ passe, dans le cadre de cette organisation, une quinzaine de nuits par mois chez son père, cette prise en charge ne saurait être assimilée à une garde partagée ou alternée, dans la mesure où B______ n'a jamais assumé la responsabilité d'organiser le quotidien de son fils, qui incombe de fait à la seule recourante. Il ne saurait dès lors être question en l'espèce d'une "garde partagée", sauf à vider cette notion de sa substance et à l'étendre de manière excessive. B______ a bénéficié sur son fils, depuis la séparation et bénéficie encore à ce jour, d'un large droit de visite et non d'une garde partagée, qui aurait impliqué, si elle avait été effective, que la bonification pour tâches éducatives au sens de l'art. 52f bis RAVS soit partagée par moitié entre les parties, alors que le Tribunal de protection ne l'a attribuée qu'à la recourante, reconnaissant ainsi implicitement qu'elle assumait seule, de fait, la garde d'C______. Au vu de ce qui précède, l'ordonnance querellée sera modifiée en ce sens que la garde de C______ sera attribuée à A______, B______ bénéficiant d'un large droit de visite sur son fils. 2.2.2 Reste à déterminer l'étendue de ce droit de visite. Le litige entre les parties est limité, puisqu'il ne porte que sur la prise en charge de C______ du mercredi soir à 18h00 jusqu'au lendemain matin 8h00.</w:t>
      </w:r>
    </w:p>
    <w:p>
      <w:r>
        <w:t>- 8/11 -</w:t>
      </w:r>
    </w:p>
    <w:p>
      <w:r>
        <w:t>C/18158/2014-CS Il ressort de la procédure qu'immédiatement après la séparation, les parties étaient convenues que C______ passerait le mercredi soir et la nuit du mercredi chez son père, ainsi qu'un week-end sur deux. D'accord entre elles, les parties ont ensuite élargi ce droit de visite à tous les dimanches soirs, nuit comprise. Lorsque A______ s'est adressée au Tribunal de protection, au mois de septembre 2014, elle a sollicité que le droit de visite exercé jusque-là soit entériné, sans émettre la moindre réserve sur le mercredi soir. Les préavis du Service de protection des mineurs ont toujours été favorables à cette organisation et ce n'est qu'au printemps 2015 que la recourante a remis en cause l'octroi du mercredi soir à B______, au motif que ce dernier confiait systématiquement l'enfant à sa mère et que C______ était perturbé. B______ ne conteste pas pratiquer le hockey de manière intensive, ce qui implique qu'il prenne part à des entraînements et à des matchs pouvant avoir lieu durant le week-end et parfois pendant la semaine, étant relevé que lesdits matchs ne sont organisés que durant une partie de l'année. Cette activité n'est toutefois pas nouvelle, ce qui n'a pas empêché les parties de prévoir, après leur séparation, un large droit de visite en faveur du père. Ce dernier s'est par ailleurs engagé, tant devant le Tribunal de protection que dans ses écritures sur recours, à renoncer à ses entraînements du mercredi soir, afin d'être personnellement présent pour s'occuper de son fils, lequel n'a jamais manifesté la moindre réticence à se rendre chez son père ou chez sa grand-mère paternelle. La recourante a certes allégué que C______ était perturbé. Les propos du pédiatre qui suit l'enfant depuis sa naissance ont toutefois été très rassurants, de sorte qu'il n'apparaît pas nécessaire, en l'état, d'auditionner la psychothérapeute. Il appartient aux parties de tout mettre en œuvre afin d'apaiser leur conflit, lequel, comme l'a relevé le pédiatre, est susceptible d'avoir des influences négatives sur leur fils et d'organiser une prise en charge souple et harmonieuse de ce dernier; la guidance parentale, dont le principe n'a pas été contesté sur recours, devrait aider les parties. Les modalités du droit de visite, telles que prévues au chiffre 3 du dispositif de la décision querellée seront par conséquent confirmées, le terme de "garde" étant toutefois remplacé par celui de "droit de visite". Dans un souci de clarté, les chiffres 2 et 3 de l'ordonnance entreprise seront reformulés.</w:t>
      </w:r>
    </w:p>
    <w:p>
      <w:r>
        <w:rPr>
          <w:b/>
        </w:rPr>
        <w:t>E. 3</w:t>
      </w:r>
    </w:p>
    <w:p>
      <w:r>
        <w:t>Les frais judiciaires de recours seront arrêtés à 400 fr. et mis à la charge des deux parties, à concurrence de la moitié chacune, au vu de l'issue du litige (art. 106 al. 2 CPC; art. 67B RTFMC). Ceux-ci seront compensés avec l'avance de frais versée par la recourante, qui reste acquise à l'Etat (art. 111 al. 1 CPC). B______ sera en conséquence condamné à verser la somme de 200 fr. à la recourante.</w:t>
      </w:r>
    </w:p>
    <w:p>
      <w:r>
        <w:t>- 9/11 -</w:t>
      </w:r>
    </w:p>
    <w:p>
      <w:r>
        <w:t>C/18158/2014-CS Vu la nature de la cause et son issue, il ne sera pas alloué de dépens (art. 107 al. 1 let. c CPC). * * * * *</w:t>
      </w:r>
    </w:p>
    <w:p>
      <w:r>
        <w:t>- 10/11 -</w:t>
      </w:r>
    </w:p>
    <w:p>
      <w:r>
        <w:t>C/18158/2014-CS PAR CES MOTIFS, La Chambre de surveillance : A la forme : Déclare recevable le recours formé par A______ contre l'ordonnance DTAE/3953/2015 rendue le 26 août 2015 par le Tribunal de protection de l'adulte et de l'enfant dans la cause C/18158/2014-6. Au fond : Annule les chiffres 2 et 3 du dispositif de ladite ordonnance et cela fait : Attribue à A______ la garde du mineur C______, né le ______ 2011. Réserve à B______ un large droit de visite sur C______, lequel s'exercera, sauf accord contraire des parties, de la manière suivante : - le mercredi de 18h00 au jeudi 8h00; - un dimanche sur deux de 18h00 au lundi 8h00; - un week-end sur deux du vendredi 18h00 au lundi 8h00; - durant la moitié des vacances scolaires dès la rentrée de fin août 2016 et dans l'intervalle à raison de quatre semaines de vacances, dont au plus deux consécutives pendant l'été. Confirme pour le surplus l'ordonnance querellée. Déboute les parties de toutes autres conclusions. Sur les frais : Arrête les frais de recours à 400 fr. et les compense avec l'avance de même montant versée par A______. Les met à la charge des parties à raison de la moitié chacune. Condamne en conséquence B______ à verser à A______ la somme de 200 fr. Dit qu'il n'est pas alloué de dépens. Siégeant : Monsieur Cédric-Laurent MICHEL, président; Monsieur Jean-Marc STRUBIN et Madame Paola CAMPOMAGNANI, juges; Madame Carmen FRAGA, greffière.</w:t>
      </w:r>
    </w:p>
    <w:p>
      <w:r>
        <w:t>Le président : Cédric-Laurent MICHEL</w:t>
      </w:r>
    </w:p>
    <w:p>
      <w:r>
        <w:t>La greffière : Carmen FRAGA</w:t>
      </w:r>
    </w:p>
    <w:p>
      <w:r>
        <w:t>- 11/11 -</w:t>
      </w:r>
    </w:p>
    <w:p>
      <w:r>
        <w:t>C/18158/2014-CS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