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DAS/273/2023 vom 26. August 2019</w:t>
      </w:r>
    </w:p>
    <w:p>
      <w:r>
        <w:t>GE Cour de justice, 2019-08-26, FR</w:t>
      </w:r>
    </w:p>
    <w:p>
      <w:r>
        <w:rPr>
          <w:b/>
        </w:rPr>
        <w:t xml:space="preserve">Quelle: </w:t>
      </w:r>
      <w:r>
        <w:t>https://mcp.opencaselaw.ch/entscheid/ge_gerichte_DAS_273_2023</w:t>
      </w:r>
    </w:p>
    <w:p>
      <w:r>
        <w:t>FR: GE_GERICHTE DAS/273/2023 du 26 août 2019</w:t>
      </w:r>
    </w:p>
    <w:p>
      <w:r>
        <w:t>IT: GE_GERICHTE DAS/273/2023 del 26 agosto 2019</w:t>
      </w:r>
    </w:p>
    <w:p>
      <w:pPr>
        <w:pStyle w:val="Heading2"/>
      </w:pPr>
      <w:r>
        <w:t>Erwägungen</w:t>
      </w:r>
    </w:p>
    <w:p>
      <w:r>
        <w:rPr>
          <w:b/>
        </w:rPr>
        <w:t>E. 1.1</w:t>
      </w:r>
    </w:p>
    <w:p>
      <w:r>
        <w:t>Les décisions finales et incidentes du juge de paix, qui relèvent de la juridiction gracieuse et sont soumises à la procédure sommaire (art. 248 let. e CPC), sont susceptibles d'un appel dans le délai de dix jours (art. 314 al. 1 CPC) auprès de la Chambre civile de la Cour de justice (art. 120 al. 2 LOJ) si la valeur litigieuse est égale ou supérieure à 10'000 fr. (art. 308 al. 2 CPC). Les décisions rendues en matière de surveillance d'un représentant successoral sont de nature pécuniaire (arrêt du Tribunal fédéral 5A_979/2017 du 21 mars 2018 consid. 1.1 et les références citées). L'appel doit être motivé (art. 311 al. 1 CPC).</w:t>
      </w:r>
    </w:p>
    <w:p>
      <w:r>
        <w:rPr>
          <w:b/>
        </w:rPr>
        <w:t>E. 1.2</w:t>
      </w:r>
    </w:p>
    <w:p>
      <w:r>
        <w:t>En l'espèce, il n'est pas contesté que la valeur litigieuse est largement supérieure à 10'000 fr., compte tenu des actifs successoraux estimés à plusieurs millions de francs. Déposé au surplus dans le délai de dix jours (art. 142 al. 1 et al. 3 CPC) et selon la forme prescrite, l'appel formé le 16 juin 2023 est recevable.</w:t>
      </w:r>
    </w:p>
    <w:p>
      <w:r>
        <w:rPr>
          <w:b/>
        </w:rPr>
        <w:t>E. 2</w:t>
      </w:r>
    </w:p>
    <w:p>
      <w:r>
        <w:t>Les parties produisent des pièces devant la Cour.</w:t>
      </w:r>
    </w:p>
    <w:p>
      <w:r>
        <w:rPr>
          <w:b/>
        </w:rPr>
        <w:t>E. 2.1</w:t>
      </w:r>
    </w:p>
    <w:p>
      <w:r>
        <w:t>Les faits et moyens de preuve nouveaux ne sont pris en compte que s'ils ont été invoqués ou produits sans retard et qu'ils n'ont pas pu l'être en première instance, bien que la partie qui s'en prévaut ait fait preuve de la diligence requise (art. 317 al. 1 let. a et b). Les deux conditions sont cumulatives (ATF 144 III 349 consid. 4.2.1).</w:t>
      </w:r>
    </w:p>
    <w:p>
      <w:r>
        <w:t>Les conditions de l'art. 317 al. 1 CPC sont applicables même lorsque la cause est soumise à la maxime inquisitoire simple (ATF 142 III 413 consid. 2.2.2; 138 III 625 consid. 2.2) par opposition à la maxime inquisitoire illimitée, où la jurisprudence est plus souple à cet égard (arrêt du Tribunal fédéral 5A_636/2018 du 8 octobre 2018 consid. 3.3.3).</w:t>
      </w:r>
    </w:p>
    <w:p>
      <w:r>
        <w:rPr>
          <w:b/>
        </w:rPr>
        <w:t>E. 2.2</w:t>
      </w:r>
    </w:p>
    <w:p>
      <w:r>
        <w:t>En l'espèce, les parties ont versé diverses pièces devant la Cour, dont la plupart sont antérieures au prononcé de la décision litigieuse. Une large partie d'entre elles sont des actes de procédure qui figurent déjà dans le dossier de première instance et peuvent ainsi être prises en compte sans autre examen. Pour le surplus, la question de leur recevabilité peut demeurer indécise, dans la mesure où elles sont sans pertinence pour l'issue du litige.</w:t>
      </w:r>
    </w:p>
    <w:p>
      <w:r>
        <w:t>- 7/12 -</w:t>
      </w:r>
    </w:p>
    <w:p>
      <w:r>
        <w:t>Error! Reference source not found.</w:t>
      </w:r>
    </w:p>
    <w:p>
      <w:r>
        <w:rPr>
          <w:b/>
        </w:rPr>
        <w:t>E. 3</w:t>
      </w:r>
    </w:p>
    <w:p>
      <w:r>
        <w:t>Dans un grief d'ordre formel, l'appelante se plaint d'une violation de son droit d'être entendue, motif pris que la Justice de paix n'aurait pas examiné tous ses griefs.</w:t>
      </w:r>
    </w:p>
    <w:p>
      <w:r>
        <w:rPr>
          <w:b/>
        </w:rPr>
        <w:t>E. 3.1</w:t>
      </w:r>
    </w:p>
    <w:p>
      <w:r>
        <w:t>La jurisprudence a déduit du droit d'être entendu de l'art. 29 al. 2 Cst. l'obligation pour l'autorité de motiver sa décision, afin que l'intéressé puisse se rendre compte de la portée de celle-ci et l'attaquer en connaissance de cause (ATF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arrêt du Tribunal fédéral 5A_867/2021 du 12 janvier 2022 consid. 4.1.2).</w:t>
      </w:r>
    </w:p>
    <w:p>
      <w:r>
        <w:rPr>
          <w:b/>
        </w:rPr>
        <w:t>E. 3.2</w:t>
      </w:r>
    </w:p>
    <w:p>
      <w:r>
        <w:t>En l'espèce, la lecture de la décision entreprise permet de comprendre les motifs qui ont guidé le premier juge dans sa décision. Ce dernier s'est, en effet, prononcé de manière circonstanciée et convaincante sur l'obligation du représentant d’établir des rapports exposant la situation de la succession et l'accès au dossier de l'appelante. Concernant les conclusions tendant au partage des actions des sociétés L______ SA et M______ SA, il a exposé que celles-ci ne rentraient pas dans son domaine de compétence et qu'au surplus, les décisions prises par le représentant n'avaient rien de répréhensible dès lors qu'elles s'inscrivaient dans l'intérêt de l'hoirie, rejetant ainsi implicitement tous les reproches élevés à l'encontre du représentant. Cette motivation est suffisante au regard de la jurisprudence susmentionnée, car elle permet à l'appelante de comprendre la décision et de critiquer l'argumentation du premier juge, ce qu'elle a d'ailleurs fait. Infondé, ce grief sera rejeté.</w:t>
      </w:r>
    </w:p>
    <w:p>
      <w:r>
        <w:rPr>
          <w:b/>
        </w:rPr>
        <w:t>E. 4</w:t>
      </w:r>
    </w:p>
    <w:p>
      <w:r>
        <w:t>L'appelante persiste dans ses conclusions de première instance qui contiennent plusieurs griefs quant à l'activité menée par le représentant de l'hoirie.</w:t>
      </w:r>
    </w:p>
    <w:p>
      <w:r>
        <w:t>4.1.1 Selon l'art. 602 al. 1 CC s'il y a plusieurs héritiers, tous les droits et obligations compris dans la succession restent indivis jusqu'au partage. A la</w:t>
      </w:r>
    </w:p>
    <w:p>
      <w:r>
        <w:t>- 8/12 -</w:t>
      </w:r>
    </w:p>
    <w:p>
      <w:r>
        <w:t>Error! Reference source not found. demande de l'un des héritiers, l'autorité compétente peut désigner un représentant de la communauté héréditaire jusqu'au moment du partage (art. 602 al. 3 CC). L'autorité de nomination, à Genève le juge de paix (art. 3 al. 1 let. J LaCC), exerce la surveillance sur le représentant de la succession (art. 3 al. 2 LaCC) et arrête sa rémunération (SPAHR, in Commentaire romand CC II, 2016, n. 68 ad art. 602 CC).</w:t>
      </w:r>
    </w:p>
    <w:p>
      <w:r>
        <w:t>4.1.2 Les pouvoirs du représentant d'hoirie dépendent de la mission définie par l'autorité. Le représentant peut être désigné pour certains actes isolés sur lesquels les héritiers ne parviennent pas à s'entendre. L'autorité peut aussi donner au représentant un mandat général et lui confier toute l'administration de la succession, auquel cas son statut juridique se rapproche de celui de l'administrateur officiel de la succession, sans toutefois que ses fonctions ne portent sur le partage de la succession (arrêts du Tribunal fédéral 5A_416/2013 du 26 juillet 2013 consid. 3.1; 5P.83/2003 du 8 juillet 2003 consid. 1; STEINAUER, Le droit des successions, 2ème éd., 2015, n. 1224). Le représentant de l'hoirie indivise est nommé pour la communauté des héritiers, non comme le représentant et dans l'intérêt d'un unique héritier (arrêts du Tribunal fédéral 5A_781/2017 du 20 décembre 2017 consid. 2.3; 5A_241/2014 du 28 mai 2014 consid. 2.1). Il s'ensuit que l'instauration d'une mesure de représentation de la communauté héréditaire déploie ses effets pour tous les membres de l'hoirie (arrêts du Tribunal fédéral 5A_796/2014 du 3 mars 2015 consid. 5.2; 5D_133/2010 du 12 janvier 2011 consid. 1.4 in fine). La représentation de la succession est une institution de droit privé sui generis. Le représentant de la succession agit comme un mandataire au sens des art 398 ss CO. Il est soumis aux règles du mandat quant à sa responsabilité et à son droit de mettre fin au mandat en tout temps. Il exerce une activité de droit privé. Le fait que le représentant soit désigné par l'autorité n'y change rien (WOLF, in Berner Kommentar ZGB, 2014, n. 154 et 165 ad art. 602 CC; STAUFELBERGER/KELLER LÜSCHER, in, Basler Kommentar ZGB II, 2019, n. 48 ad art. 602 CC; SPAHR, op. cit., n. 77 et 85 ad art. 602 CC). Il doit ainsi périodiquement renseigner les héritiers sur l'évolution de son activité. Il est tenu de rendre des comptes, conformément aux exigences de l'art. 400 CO et répond envers les héritiers de la bonne et fidèle exécution de sa tâche (SPAHR, op. cit. n. 77 et 78 ad art. 602 CC; STAUFELBERGER/KELLER LÜSCHER, op.cit., n. 47-48 ad art. 602 CC et les références citées). En revanche, la mission du représentant d'hoirie ne comprend pas la liquidation ni le partage d'une succession. Elle exclut également les actions propres des héritiers pour la succession (arrêt du Tribunal fédéral 5A_416/2013 du 26 juillet 2013 consid. 3.1 et 3.2; STEINAUER, op. cit., n. 1241a; SPAHR, op. cit. n. 7 ad art. 604 CC; EIGENMANN/LANDERT, Actions successorales, n. 18).</w:t>
      </w:r>
    </w:p>
    <w:p>
      <w:r>
        <w:t>- 9/12 -</w:t>
      </w:r>
    </w:p>
    <w:p>
      <w:r>
        <w:t>Error! Reference source not found. 4.1.3 L'autorité de surveillance statue uniquement sur les questions de droit formel et sur l'opportunité des mesures prises par le représentant. Les questions de pur droit matériel relèvent, par contre, de la compétence du juge ordinaire (arrêt du Tribunal fédéral 5A_806/2009 du 26 avril 2010 consid. 3.1; 5P.166/2004 du 24 juin 2004 consid. 2.2; SPAHR, op. cit. n. 82 ad art. 602 CC et les références citées). Même si elle dispose d'un pouvoir d'examen étendu, l'autorité de surveillance doit faire preuve de retenue dans ses décisions. Elle tiendra compte du large pouvoir d'appréciation dont le représentant dispose et n'interviendra que si le choix opéré par celui-ci est manifestement insoutenable (arrêts du Tribunal fédéral 5A_813/2014 du 24 novembre 2014 consid. 4; 5P_107/2004 consid. 2.2; SPAHR, op. cit., n. 81 ad art. 602 CC; STAUFELBERGER/KELLER LÜSCHER, op.cit., n. 51 ad art. 602 CC; WEIBEL, in Praxiskommentar Erbrecht, n. 78 ad art. 602 CC).</w:t>
      </w:r>
    </w:p>
    <w:p>
      <w:r>
        <w:rPr>
          <w:b/>
        </w:rPr>
        <w:t>E. 4.2</w:t>
      </w:r>
    </w:p>
    <w:p>
      <w:r>
        <w:t>En l'espèce, l'appelante s'est déjà plainte par le passé des activités du représentant de l'hoirie lors de la procédure en indemnisation, en soulevant plusieurs griefs à son encontre, lesquels ont tous été rejetés par décision de la Justice de paix du 7 juin 2021, confirmée par arrêt de la Cour de céans du 22 février 2022. Ces décisions ont relevé la complexité du mandat confié au représentant de l’hoirie au vu, notamment, de l'importance du patrimoine de la succession, de la nature des actifs à partager et des différends existant entre les cohéritières, considérant qu'aucun manquement dans sa mission ne pouvait lui être imputé. La même conclusion s'impose ici pour les raisons qui suivent : L'appelante ne saurait imputer un défaut de communication au représentant de l’hoirie, dans la mesure où les difficultés rencontrées par les hoirs, y compris au niveau de la communication, existaient déjà lors de sa désignation et constituaient d'ailleurs le motif principal de son intervention. L'appelante n'explique pas, au demeurant, quelles informations ne lui auraient pas été communiquées ni en quoi le représentant aurait failli à son devoir d'information envers les héritiers. Concernant le grief relatif à l'absence de rapport, le premier juge a constaté que le représentant n'avait pas pu déposer son premier rapport dans le délai imparti, sans faute de sa part, au vu de la procédure d'opposition à sa nomination initiée par l'appelante elle-même. Il avait toutefois établi un rapport exposant la situation successorale une fois sa désignation confirmée et avait par la suite régulièrement renseigné la Justice de paix. Ces documents étant versés au dossier, ils sont à la disposition de l'appelante tant auprès de l'autorité que du représentant de l'hoirie, lequel a d'ailleurs invité cette dernière à venir consulter le dossier en son Etude. L'appelante n'allègue pas avoir été empêchée d'accéder au dossier ou à ces documents, s’étant bornée à reprocher au représentant de ne pas avoir établi les</w:t>
      </w:r>
    </w:p>
    <w:p>
      <w:r>
        <w:t>- 10/12 -</w:t>
      </w:r>
    </w:p>
    <w:p>
      <w:r>
        <w:t>Error! Reference source not found. rapports requis, alors que ceux-ci se trouvent dans le dossier auquel elle a librement accès. Quant à la société L______ SA, il ressort du dossier que le bien immobilier qu’elle détient constitue un actif important de la succession. Bien qu'il soit estimé à plus de 7 millions de francs, il implique le versement d’intérêts hypothécaires de 12%, équivalant à 371'280 fr. par année, qui continuent de courir et d'augmenter d'autant les passifs de la succession. Le choix du représentant de l’hoirie de vouloir procéder à la vente de ce bien immobilier avant que la dette hypothécaire n’en dépasse la valeur est non seulement opportune, mais également conforme aux intérêts de la succession. A cet égard, l'appelante n'apporte aucun élément concret s'agissant de la promotion immobilière qu'elle invoque pour s'opposer à la vente du bien et dont on ignore tout, y compris la date à laquelle elle serait susceptible de débuter, de sorte qu'on ne saurait reprocher au représentant de ne pas privilégier cette option. S'agissant des actions de M______ SA et des différents prêts accordés à K______, il s'avère que le représentant de l’hoirie a tenté de recouvrer lesdits prêts en introduisant une poursuite à l'encontre de ce dernier ainsi qu'une action judiciaire, laquelle est toujours pendante. Cela étant, K______ s'est prévalu de documents écrits et signés par le de cujus en vertu desquels il n'est plus débiteur desdits prêts, ceux-ci ayant été convertis en actions de la société précitée. Le simple fait que l'appelante estime, sans preuve à l'appui, que ces documents ne seraient pas valables n'est pas suffisant pour permettre au représentant de l’hoirie de procéder au recouvrement de ces prêts. Enfin, on ne saurait reprocher au représentant de l’hoirie de ne pas avoir encore préparé un projet de partage ni liquidé le régime matrimonial. En effet, comme il l'a à juste titre relevé, la masse successorale ne peut à ce stade être déterminée compte tenu des incertitudes qui demeurent sur d'importants actifs et passifs, tels que le sort du bien immobilier appartenant à la société L______ SA, le montant exact de la dette hypothécaire y relative, qui ne cesse de s'accroître, la valeur définitive de la société M______ SA ou encore certaines créances de la succession envers l'appelante, qui sont contestées par cette dernière. Ce n'est qu'une fois ces éléments connus que les calculs en lien avec la liquidation du régime matrimonial et les prétentions successorales pourront intervenir. Quoi qu'en dise l'appelante, sa situation en tant que conjointe survivante n'a pas été ignorée, mais s'inscrit dans le cadre d'une succession complexe, qui nécessite de nombreuses démarches préalables avant de pouvoir liquider le régime matrimonial et procéder à la préparation du partage, dont on rappellera ici qu’il n’appartient pas au représentant de l’hoirie de l’exécuter. Au vu de ce qui précède, il s'avère que le représentant de l'hoirie a entrepris différentes démarches afin de sauvegarder au mieux les avoirs de la succession et</w:t>
      </w:r>
    </w:p>
    <w:p>
      <w:r>
        <w:t>- 11/12 -</w:t>
      </w:r>
    </w:p>
    <w:p>
      <w:r>
        <w:t>Error! Reference source not found. d'en limiter les passifs, ce qui est conforme aux intérêts des héritiers, étant rappelé que le représentant de l'hoirie agit dans l'intérêt de la communauté des héritiers et non dans l'intérêt d'un seul d’entre eux. L'appel se révèle infondé et sera, par conséquent, rejeté.</w:t>
      </w:r>
    </w:p>
    <w:p>
      <w:r>
        <w:rPr>
          <w:b/>
        </w:rPr>
        <w:t>E. 5</w:t>
      </w:r>
    </w:p>
    <w:p>
      <w:r>
        <w:t>Les frais judiciaires d'appel seront arrêtés à 2’000 fr. (art. 67A et 67B RTFMC), compte tenu de l’activité déployée par la Cour de justice au vu des multiples griefs soulevés par l’appelante et mis à la charge de celle-ci, qui succombe (art. 106 al. 1 CPC). Ils seront partiellement compensés avec l'avance de frais de 500 fr. versée par cette dernière, qui demeure acquise à l'Etat de Genève (art. 111 al. 1 CPC).</w:t>
      </w:r>
    </w:p>
    <w:p>
      <w:r>
        <w:t>L’appelante sera dès lors condamnée à verser à l’Etat de Genève, soit pour lui les Services financiers du Pouvoir judiciaire, la somme de 1'500 fr. à titre de solde des frais judiciaires.</w:t>
      </w:r>
    </w:p>
    <w:p>
      <w:r>
        <w:t>Il n'y a pas lieu à l'allocation de dépens dans la mesure où le représentant de l'hoirie comparait en personne et n'en sollicite pas et que les autres intimées se sont limitées à s’en rapporter aux conclusions du représentant, sans en solliciter non plus. * * * * *</w:t>
      </w:r>
    </w:p>
    <w:p>
      <w:r>
        <w:t>- 12/12 -</w:t>
      </w:r>
    </w:p>
    <w:p>
      <w:r>
        <w:t>Error! Reference source not found. PAR CES MOTIFS, La Chambre civile : A la forme : Déclare recevable l'appel interjeté le 16 juin 2023 par A______ à l'encontre de la décision DJP/207/2013 rendue le 1er juin 2023 par la Justice de paix dans la cause C/3766/2018. Au fond : Confirme cette décision. Déboute les parties de toutes autres conclusions. Sur les frais d'appel : Arrête les frais judiciaires d'appel à 2’000 fr., les met à la charge de A______ et dit qu'ils sont partiellement compensés avec l'avance de frais versée par cette dernière, qui reste acquise à l'Etat de Genève. Condamne en conséquence A______ à verser à l’Etat de Genève, soit pour lui les Services financiers du Pouvoir judiciaire, la somme de 1'500 fr. à titre de solde des frais judiciaires. Dit qu'il n'est pas alloué de dépens d'appel. Siégeant : Monsieur Cédric-Laurent MICHEL, président; Mesdames Paola CAMPOMAGNANI et Jocelyne DEVILLE-CHAVANNE, juges; Madame Carmen FRAGA, greffière.</w:t>
      </w:r>
    </w:p>
    <w:p>
      <w:r>
        <w:t>Voie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