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DAS/273/2022 vom 19. Januar 2022</w:t>
      </w:r>
    </w:p>
    <w:p>
      <w:r>
        <w:t>GE Cour de justice, 2022-01-19, FR</w:t>
      </w:r>
    </w:p>
    <w:p>
      <w:r>
        <w:rPr>
          <w:b/>
        </w:rPr>
        <w:t xml:space="preserve">Quelle: </w:t>
      </w:r>
      <w:r>
        <w:t>https://mcp.opencaselaw.ch/entscheid/ge_gerichte_DAS_273_2022</w:t>
      </w:r>
    </w:p>
    <w:p>
      <w:r>
        <w:t>FR: GE_GERICHTE DAS/273/2022 du 19 janvier 2022</w:t>
      </w:r>
    </w:p>
    <w:p>
      <w:r>
        <w:t>IT: GE_GERICHTE DAS/273/2022 del 19 gennaio 2022</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de l'adulte peuvent faire l'objet d'un recours auprès de la Chambre de surveillance de la Cour de justice (art. 450 al. 1 CC et 53 al. 1 LaCC) dans un délai de trente jours à compter de la notification de la décision (art. 450b al. 1 CC). Le délai est de dix jours s'agissant de mesures provisionnelles (art. 445 al. 3 CC). L'art. 145 CPC, qui prévoit la suspension des délais légaux, notamment du 18 décembre au 2 janvier inclus, n'est pas applicable devant le Tribunal de protection (art. 41 al. 1 et 31 al. 2 let. e LaCC). 1.1.2 Le principe général de la bonne foi, consacré à l'art. 5 al. 3 Cst. féd., implique que le justiciable ne doit subir aucun préjudice du chef d'une indication inexacte des voies de droit par un tribunal (ATF 138 I 49 consid. 8.3.2; arrêt du Tribunal fédéral 5A_599/2016 du 21 novembre 2016 consid. 3), que ce soit quant à l'instance compétente ou au délai mentionné, lorsqu'il s'est fié à ces indications. Seule peuvent cependant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arrêt du Tribunal fédéral 5A_599/2016 précité, ibidem). Le constat par l'autorité du non-respect par le recourant assisté d'un conseil d'un délai de recours contre une décision de nature provisionnelle n'a pas été jugé arbitraire par le Tribunal fédéral, alors que la décision rendue par le premier juge sur mesures provisionnelles et sur le fond ne mentionnait pas les deux délais de recours (arrêt du Tribunal fédéral 5A_261/2020 du 27 août 2020 consid. 4.2 in fine).</w:t>
      </w:r>
    </w:p>
    <w:p>
      <w:r>
        <w:rPr>
          <w:b/>
        </w:rPr>
        <w:t>E. 1.2</w:t>
      </w:r>
    </w:p>
    <w:p>
      <w:r>
        <w:t>En l'espèce, bien que les premiers juges aient motivé leur décision en précisant qu'ils décidaient de surseoir à statuer sur la problématique du retrait de la garde et du placement des mineurs, durant une période de trois mois, et qu'ils statuaient, dans l'intervalle et de manière provisoire, sur la garde et les relations personnelles des mineurs, ils n'ont pas précisé dans le dispositif que l'ordonnance était rendue à titre provisionnel, ce qui paraît pourtant être le cas.</w:t>
      </w:r>
    </w:p>
    <w:p>
      <w:r>
        <w:t>- 8/11 -</w:t>
      </w:r>
    </w:p>
    <w:p>
      <w:r>
        <w:t>C/9943/2016-CS La décision indique, par ailleurs, qu'elle est sujette à recours dans un délai de trente jours. Si l'on devait retenir le caractère provisionnel de la décision rendue, le recours expédié le 19 janvier 2022 à la Chambre de surveillance devrait être déclaré tardif. Cependant, et malgré le fait que le recourant soit assisté d'un avocat, il peut exceptionnellement se prévaloir du principe du respect de la bonne foi de l'administré, tant la nature de la décision rendue n'apparaît pas limpide. Il ne peut donc lui être reproché d'avoir agi dans le délai de trente jours mentionné dans la décision litigieuse, laquelle ne précisait également pas qu'elle était rendue à titre provisionnel.</w:t>
      </w:r>
    </w:p>
    <w:p>
      <w:r>
        <w:rPr>
          <w:b/>
        </w:rPr>
        <w:t>E. 2</w:t>
      </w:r>
    </w:p>
    <w:p>
      <w:r>
        <w:t>La recourante sollicite l'instauration d'une garde alternée sur les mineurs.</w:t>
      </w:r>
    </w:p>
    <w:p>
      <w:r>
        <w:rPr>
          <w:b/>
        </w:rPr>
        <w:t>E. 2.1</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 arrêts du Tribunal fédéral 5A_260/2019 du</w:t>
      </w:r>
    </w:p>
    <w:p>
      <w:r>
        <w:rPr>
          <w:b/>
        </w:rPr>
        <w:t>E. 2.2</w:t>
      </w:r>
    </w:p>
    <w:p>
      <w:r>
        <w:t>En l'espèce, la recourante reproche au Tribunal de protection, bien qu'ayant constaté que le développement corporel ou moral des enfants n'était pas assez protégé ou encouragé dans leur milieu familial, d'avoir laissé une</w:t>
      </w:r>
    </w:p>
    <w:p>
      <w:r>
        <w:t>- 9/11 -</w:t>
      </w:r>
    </w:p>
    <w:p>
      <w:r>
        <w:t>C/9943/2016-CS dernière chance aux parties de s'engager de manière effective dans un processus visant à pallier les difficultés parentales, ce qui n'était pas dans leur intérêt, et surtout, d'avoir dans l'intervalle, modifié le régime de garde alternée des enfants, en transférant la garde de F______ à sa mère et la garde de G______ et H______ à leur père, par une "décision définitive, incomplète et inadéquate", qui n'ordonne pas aux parties d'entreprendre un suivi thérapeutique de coparentalité et qui ne précise pas, dans son dispositif, que le Tribunal de protection surseoit au retrait de la garde et au placement des enfants durant un délai de trois mois. Bien que la nature de la décision rendue ne soit pas claire, comme le relève à juste titre la recourante, il n'empêche que l'on comprend de celle-ci, que le Tribunal de protection ne s'est pas prononcé de manière définitive sur le sort des mineurs, notamment concernant leur garde, voire le retrait de celle-ci à leurs parents, en laissant la possibilité à ces derniers de s'engager dans un processus de coparentalité. La décision rendue n'apparaît pas inopportune puisque les expertes ont relevé, tant dans leur rapport, que lors de leur audition devant le Tribunal de protection, que les parents n'avaient pas pu bénéficier de cette opportunité. Par ailleurs, dans sa réponse au recours, le père des mineurs a indiqué adhérer au suivi de thérapie familiale et de coparentalité auprès de [l'établissement] I______, de sorte qu'il semble avoir compris qu'il était dans l'intérêt de ses enfants d'entreprendre cette démarche. Contrairement à ce que soutient la recourante, il n'était pas nécessaire d'indiquer dans le dispositif de la décision que le Tribunal de protection avait sursis à statuer sur la question du retrait du droit de garde des mineurs, puisqu'il l'a exposé clairement dans sa motivation, ni d'imposer aux parents un suivi thérapeutique de coparentalité, dès lors que, précisément, le Tribunal de protection leur a laissé la possibilité de démontrer qu'ils étaient capables de l'entreprendre personnellement, ce qui semble être le cas, au vu de la prise de position du père des mineurs sur cette question. Les griefs de la recourante seront rejetés. Le Tribunal de protection a, à juste titre, considéré, en s'appuyant notamment sur les observations des expertes, que le principe de la garde alternée n'était pas envisageable pour l'instant et a figé, pour quelques temps seulement, la garde des mineurs, telle qu'elle est actuellement exercée de fait, ce qui n'infère pas sur la décision future qui sera rendue au fond, étant précisé que le Tribunal de protection devra se prononcer dans sa décision finale sur le mode de garde le plus adapté dans l'intérêt des mineurs, comprenant l'examen d'un éventuel retrait du droit de garde et de déterminer le lieu de résidence des enfants à l'un ou deux parents. Les griefs de la recourante seront également rejetés. La recourante sollicite que la question du domicile du père (en Suisse ou en France) soit instruite, avant qu'une décision définitive ne soit rendue concernant la garde des mineurs, mesure qu'il lui appartiendra de solliciter</w:t>
      </w:r>
    </w:p>
    <w:p>
      <w:r>
        <w:t>- 10/11 -</w:t>
      </w:r>
    </w:p>
    <w:p>
      <w:r>
        <w:t>C/9943/2016-CS devant le Tribunal de protection. Le curateur, quant à lui, relève que les expertes avaient exprimé le besoin de revoir les enfants et les parents afin de se prononcer sur les mesures à prendre, compte tenu des "faits nouveaux intervenus". Il appartiendra également au curateur de faire valoir sa position à ce propos devant le Tribunal de protection, dans le cadre de l'instruction de la procédure au fond. Les arguments et griefs soulevés par la recourante concernant l'attribution "définitive" de la garde des deux mineurs G______ et H______ à leur père sont irrelevants en l'espèce, le Tribunal de protection n'ayant précisément pas rendu de décision au fond, mais uniquement pour une durée limitée dans le temps. Quant à la question de l'autorité parentale sur les mineurs, elle ne fait pas l'objet de l'ordonnance contestée, de sorte que les conclusions prises à ce sujet sont irrecevables. L'ordonnance rendue sera ainsi confirmée et la recourante sera déboutée de toutes ses conclusions, le Tribunal de protection étant invité à poursuivre sans délai son instruction et à rendre une décision au fond. 3. La procédure qui porte, comme en l'espèce, notamment sur la fixation de la garde et des relations personnelles n'est pas gratuite (art. 77 LaCC). Les frais de la procédure seront arrêtés à 400 fr. (art. 3 et 19 al. 1 LaCC, art. 67A et B RTFMC), et mis à la charge de la recourante, qui succombe (art. 106 al. 1 CPC). Cette dernière bénéficiant toutefois de l'assistance judiciaire, ils seront provisoirement supportés par l'Etat de Genève, sous réserve d'une décision contraire du Service de l'assistance judiciaire. Il ne sera pas alloué de dépens (art. 106 al. 1 CPC). * * * * *</w:t>
      </w:r>
    </w:p>
    <w:p>
      <w:r>
        <w:t>- 11/11 -</w:t>
      </w:r>
    </w:p>
    <w:p>
      <w:r>
        <w:t>C/9943/2016-CS PAR CES MOTIFS, La Chambre de surveillance :</w:t>
      </w:r>
    </w:p>
    <w:p>
      <w:r>
        <w:t>A la forme : Déclare recevable le recours interjeté le 19 janvier 2022 par A______ contre la décision DTAE/6294/2021 rendue le 7 septembre 2021 par le Tribunal de protection de l’adulte et de l’enfant dans la cause C/9943/2016. Au fond : Confirme ladite ordonnance. Déboute la recourante de toutes ses conclusions. Sur les frais : Arrête les frais judiciaires à 400 fr., les met à la charge de A______ et dit qu'ils sont provisoirement supportés par l'Etat de Genève, sous réserve d'une décision contraire du Service de l'assistance judiciaire.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5</w:t>
      </w:r>
    </w:p>
    <w:p>
      <w:r>
        <w:t>novembre 2019 consid. 3.1; 5A_534/2019 du 31 janvier 2020 consid. 3.1).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