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DAS/270/2023 vom 7. August 2023</w:t>
      </w:r>
    </w:p>
    <w:p>
      <w:r>
        <w:t>GE Cour de justice, 2023-08-07, FR</w:t>
      </w:r>
    </w:p>
    <w:p>
      <w:r>
        <w:rPr>
          <w:b/>
        </w:rPr>
        <w:t xml:space="preserve">Quelle: </w:t>
      </w:r>
      <w:r>
        <w:t>https://mcp.opencaselaw.ch/entscheid/ge_gerichte_DAS_270_2023</w:t>
      </w:r>
    </w:p>
    <w:p>
      <w:r>
        <w:t>FR: GE_GERICHTE DAS/270/2023 du 7 août 2023</w:t>
      </w:r>
    </w:p>
    <w:p>
      <w:r>
        <w:t>IT: GE_GERICHTE DAS/270/2023 del 7 agosto 2023</w:t>
      </w:r>
    </w:p>
    <w:p>
      <w:pPr>
        <w:pStyle w:val="Heading2"/>
      </w:pPr>
      <w:r>
        <w:t>Erwägungen</w:t>
      </w:r>
    </w:p>
    <w:p>
      <w:r>
        <w:rPr>
          <w:b/>
        </w:rPr>
        <w:t>E. 1.1</w:t>
      </w:r>
    </w:p>
    <w:p>
      <w:r>
        <w:t>Les décisions de l'autorité de protection peuvent faire l'objet d'un recours auprès de la Chambre de surveillance de la Cour de justice (450 al. 1 CC; art. 53 al. 1 LaCC; art. 126 al. 1 let. b LOJ). Ont qualité pour recourir les personnes parties à la procédure (art. 450 al. 2 ch. 1 CC). Le délai de recours est de trente jours à compter de la notification de la décision (art. 450b al. 1 CC; art. 53 al. 2 LaCC applicable par renvoi de l'art. 314 al. 1 CC). Si le dernier jour est un samedi, un dimanche ou un jour férié reconnu par le droit fédéral ou le droit cantonal du siège du tribunal, le délai expire le premier jour ouvrable qui suit (art. 142 al. 3 CPC). En l'espèce, le recours a été formé par des parties à procédure, dans le délai utile de trente jours et devant l'autorité compétente, il est donc recevable à la forme.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1.3</w:t>
      </w:r>
    </w:p>
    <w:p>
      <w:r>
        <w:t>Les pièces nouvelles produites par les parties à l'appui de leurs écritures sont recevables, l'art. 53 LaCC ne prévoyant aucune limitation au dépôt en procédure de recours de pièces nouvelles.</w:t>
      </w:r>
    </w:p>
    <w:p>
      <w:r>
        <w:rPr>
          <w:b/>
        </w:rPr>
        <w:t>E. 2</w:t>
      </w:r>
    </w:p>
    <w:p>
      <w:r>
        <w:t>Les recourantes font grief au Tribunal de protection de s’être rendu coupable de déni de justice et d’avoir violé leur droit d’être entendues.</w:t>
      </w:r>
    </w:p>
    <w:p>
      <w:r>
        <w:t>- 6/12 -</w:t>
      </w:r>
    </w:p>
    <w:p>
      <w:r>
        <w:t>C/24631/2014-CS 2.1.1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Le droit d'être entendu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 3 décembre 2013 consid. 3.3.1; ATF 127 III 193 consid. 3). Toutefois, le droit d'être entendu n'est pas une fin en soi. Il constitue un moyen d'éviter qu'une procédure judiciaire ne débouche sur un jugement vicié en raison de la violation du droit des parties de participer à la procédure. Lorsqu'on ne voit pas quelle influence la violation du droit d'être entendu a pu avoir sur la procédure, il n'y a pas lieu d'annuler la décision attaquée (ATF 143 IV 380 consid. 1.4.1; arrêt du Tribunal fédéral 1C_229/2020 du 27 août 2020 consid. 2.1). Par ailleurs,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130 II 530 consid. 7.3; 127 V 431 consid. 3d/aa; 126 V 130 consid. 2b). L'appelant ne peut alors pas se contenter de se plaindre de cette violation, mais doit exercer son droit d'être entendu (arrêt du Tribunal fédéral 5A_925/2015 du 4 mars 2016 consid. 2.3.3.2 non publié aux ATF 142 III 195). Pour le surplus, même en présence d'un vice grave, une réparation de la violation du droit d'être entendu peut également se justifier lorsque le renvoi constituerait une vaine formalité et aboutirait à un allongement inutile de la procédure, ce qui serait incompatible avec l'intérêt de la partie concernée à ce que sa cause soit tranchée dans un délai raisonnable (ATF 142 II 218 consid. 2.8.1). 2.1.2 La jurisprudence a également déduit de l'art.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w:t>
      </w:r>
    </w:p>
    <w:p>
      <w:r>
        <w:t>- 7/12 -</w:t>
      </w:r>
    </w:p>
    <w:p>
      <w:r>
        <w:t>C/24631/2014-CS griefs invoqués par les parties, mais peut au contraire se limiter à ceux qui, sans arbitraire, apparaissent pertinents (ATF 142 III 433 consid. 4.3.2; 141 IV 249 consid. 1.3.1; arrêt du Tribunal fédéral 5A_19/2020 du 18 mai 2020 consid. 6). Il n'y a violation du droit d'être entendu que si l'autorité n'a pas satisfait à son devoir minimum d'examiner et de traiter les problèmes pertinents (ATF 135 III 670 consid. 3.3.1; 133 III 235 consid. 5.2 et les arrêts cités; arrêt du Tribunal fédéral 5A_609/2012 du 12 septembre 2012 consid. 3.1). L'essentiel est que la décision indique clairement les faits qui sont établis et les déductions juridiques qui sont tirées de l'état de fait déterminant (ATF 142 II 154 consid. 4.2; 135 II 145 consid. 8.2). En revanche, l'autorité se rend coupable d'un déni de justice formel si elle omet de se prononcer sur des griefs qui présentent une certaine pertinence ou de prendre en considération des allégués et arguments importants pour la décision à rendre (ATF 142 III 433 consid 4.3 et les références citées).</w:t>
      </w:r>
    </w:p>
    <w:p>
      <w:r>
        <w:t>2.2.1 En l’espèce, il semble résulter de la procédure que l’écriture du mineur du 5 avril 2023 n’a pas été transmise aux recourantes, alors que tel aurait dû être le cas. Le contenu de cette écriture n’a toutefois eu aucune influence sur la décision du 29 juin 2023, objet de la présente procédure, de sorte que l’annulation de celle-ci et le renvoi de la cause au premier juge pour ce motif serait constitutif de formalisme excessif, ce d’autant plus que les recourantes, qui n’ont pas demandé à consulter le dossier, ont pu faire valoir tous leurs griefs devant l’autorité de seconde instance, laquelle revoit la cause en fait, en droit et sous l’angle de l’opportunité.</w:t>
      </w:r>
    </w:p>
    <w:p>
      <w:r>
        <w:t>Ce premier grief est dès lors infondé.</w:t>
      </w:r>
    </w:p>
    <w:p>
      <w:r>
        <w:t>2.2.2 Contrairement à ce que soutiennent les recourantes, la décision litigieuse contient une motivation, certes sommaire, mais néanmoins suffisante. Le Tribunal de protection a en effet refusé de nommer un curateur de représentation au mineur D______ au motif que la requête en ce sens était devenue sans objet du fait de la désignation, intervenue le 15 juin 2023, d’un représentant de la communauté héréditaire.</w:t>
      </w:r>
    </w:p>
    <w:p>
      <w:r>
        <w:t>Ainsi, les recourantes, représentées par deux conseils, sont en mesure de comprendre la raison pour laquelle leur requête a été rejetée.</w:t>
      </w:r>
    </w:p>
    <w:p>
      <w:r>
        <w:t>Au vu de ce qui précède, le premier juge ne s’est rendu coupable, à l’égard des recourantes, ni de déni de justice, ni de violation de leur droit d’être entendues.</w:t>
      </w:r>
    </w:p>
    <w:p>
      <w:r>
        <w:t>Savoir si, conformément à ce qu’a retenu le Tribunal de protection, la désignation d’un représentant de la communauté héréditaire rend sans objet la requête de nomination d’un curateur de représentation en faveur du mineur D______ relève du fond; cette question fera l’objet d’un examen ci-après.</w:t>
      </w:r>
    </w:p>
    <w:p>
      <w:r>
        <w:t>- 8/12 -</w:t>
      </w:r>
    </w:p>
    <w:p>
      <w:r>
        <w:t>C/24631/2014-CS</w:t>
      </w:r>
    </w:p>
    <w:p>
      <w:r>
        <w:rPr>
          <w:b/>
        </w:rPr>
        <w:t>E. 3</w:t>
      </w:r>
    </w:p>
    <w:p>
      <w:r>
        <w:t>mars 2015 consid. 5.2; 5D_133/2010 du 12 janvier 2011 consid. 1.4 in fine). La représentation de la succession est une institution de droit privé sui generis. Le représentant de la succession agit comme un mandataire au sens des art 398 ss CO. Il est soumis aux règles du mandat quant à sa responsabilité et à son droit de mettre fin au mandat en tout temps. Il exerce une activité de droit privé. Le fait que le représentant soit désigné par l'autorité n'y change rien (WOLF, in Berner Kommentar ZGB, 2014, n. 154 et 165 ad art. 602 CC; STAUFELBERGER/KELLER LÜSCHER, in, Basler Kommentar ZGB II, 2019, n. 48 ad art. 602 CC; SPAHR, op. cit., n. 77 et 85 ad art. 602 CC). Il doit ainsi périodiquement renseigner les héritiers sur l'évolution de son activité. Il est tenu de rendre des comptes, conformément aux exigences de l'art. 400 CO et répond envers les héritiers de la bonne et fidèle exécution de</w:t>
      </w:r>
    </w:p>
    <w:p>
      <w:r>
        <w:t>- 9/12 -</w:t>
      </w:r>
    </w:p>
    <w:p>
      <w:r>
        <w:t>C/24631/2014-CS sa tâche (SPAHR, op. cit. n. 77 et 78 ad art. 602 CC; STAUFELBERGER/KELLER LÜSCHER, op.cit., n. 47-48 ad art. 602 CC et les références citées). En revanche, la mission du représentant d'hoirie ne comprend pas la liquidation ni le partage d'une succession. Elle exclut également les actions propres des héritiers pour la succession (arrêt du Tribunal fédéral 5A_416/2013 du 26 juillet 2013 consid. 3.1 et 3.2; STEINAUER, op. cit., n. 1241a; SPAHR, op. cit. n. 7 ad art. 604 CC; EIGENMANN/LANDERT, Actions successorales, n. 18). 3.1.3 En cas de décès de l’un des détenteurs de l’autorité parentale conjointe, l’autorité parentale revient au survivant (art. 297 al. 1 CC). Les père et mère sont, dans les limites de leur autorité parentale, les représentants légaux de leurs enfants à l’égard des tiers (art. 304 al. 1 CC). Si les père et mère sont empêchés d’agir ou si, dans une affaire, leurs intérêts entrent en conflit avec ceux de l’enfant, l’autorité de protection de l’enfant nomme un curateur ou prend elle-même les mesures nécessaires (art. 306 al. 2 CC). Les père et mère administrent les biens de l’enfant aussi longtemps qu’ils ont l’autorité parentale (art. 318 al. 1 CC). En cas de décès de l’un des parents, le parent survivant est tenu de remettre un inventaire des biens de l’enfant à l’autorité de protection de l’enfant (art. 318 al. 2 CC). Lorsque l’autorité de protection de l’enfant le juge opportun au vu du genre ou de l’importance des biens de l’enfant et de la situation personnelle des père et mère, elle ordonne l’établissement d’un inventaire ou la remise périodique de comptes et de rapports (art. 318 al. 3 CC). Les père et mère peuvent utiliser les revenus des biens de l’enfant pour son entretien, son éducation et sa formation et, dans la mesure où cela est équitable, pour les besoins du ménage (art. 319 al. 1 CC). Les versements en capital, dommages-intérêts et autres prestations semblables peuvent être utilisés par tranches pour l’entretien de l’enfant, autant que les besoins courants l’exigent (art. 320 al. 1 CC). Lorsque cela est nécessaire pour subvenir à l’entretien, à l’éducation ou à la formation de l’enfant, l’autorité de protection de l’enfant peut permettre aux père et mère de prélever sur les autres biens de l’enfant la contribution qu’elle fixera (art. 320 al. 2 CC). Si une administration diligente n’est pas suffisamment assurée, l’autorité de protection de l’enfant prend les mesures nécessaires pour protéger les biens de l’enfant (art. 324 al. 1 CC). Elle peut, en particulier, donner des instructions concernant l’administration et, lorsque les comptes et le rapport</w:t>
      </w:r>
    </w:p>
    <w:p>
      <w:r>
        <w:t>- 10/12 -</w:t>
      </w:r>
    </w:p>
    <w:p>
      <w:r>
        <w:t>C/24631/2014-CS périodiques ne suffisent pas, exiger une consignation ou des sûretés (art. 324 al. 2 CC). S’il n’y a pas d’autre façon d’empêcher que les biens de l’enfant soient mis en péril, l’autorité de protection de l’enfant en confie l’administration à un curateur (art. 325 al. 1 CC). S’il est à craindre que les revenus des biens de l’enfant ou les montants prélevés sur ces biens ne soient pas utilisés conformément à la loi, l’autorité de protection de l’enfant peut également en confier l’administration à un curateur (art. 325 al. 3 CC). Les père et mère répondent, de la même manière qu’un mandataire, de la restitution des biens de l’enfant (art. 327 al. 1 CC). Ils ne sont tenus à aucune indemnité pour les prélèvements qu’ils étaient en droit de faire pour l’enfant ou pour le ménage (art. 327 al. 3 CC).</w:t>
      </w:r>
    </w:p>
    <w:p>
      <w:r>
        <w:rPr>
          <w:b/>
        </w:rPr>
        <w:t>E. 3.2</w:t>
      </w:r>
    </w:p>
    <w:p>
      <w:r>
        <w:t>Quand bien même la désignation d’un représentant de la communauté héréditaire n’est, en elle-même, pas incompatible avec l’instauration d’une curatelle de représentation en faveur d’un enfant mineur, cette dernière mesure n’apparaît pas nécessaire en l’espèce. Il sera tout d’abord relevé que la mère du mineur D______ n’est pas héritière du défunt, avec lequel elle n’était pas mariée et qui n’a pas laissé de testament en sa faveur. Dès lors et dans le cadre de la succession de feu E______, les intérêts de C______ n’entrent pas en conflit avec ceux de son fils, qu’elle représente, conformément à l’art. 304 al. 1 CC. Les recourantes, à bien les comprendre, font en réalité grief à C______ sinon de vouloir spolier le mineur D______ de sa part d’héritage, à tout le moins de vouloir profiter de celle-ci pour ses propres besoins, de sorte que la désignation d’un curateur à l’enfant serait nécessaire afin de sauvegarder ses intérêts. D’une part et conformément à l’art. 602 CC, tous les droits compris dans la succession demeurent indivis jusqu’au partage; les héritiers sont propriétaires et disposent en commun des biens qui en dépendent. Dès lors, le risque que C______ retire de l’argent sur les comptes du défunt pour ses propres besoins ou dispose d’autres biens de la succession sans l’accord des recourantes et au détriment des intérêts de son propre fils est désormais nul. D’autre part, la Justice de paix a désigné, le 15 juin 2023, Me P______ aux fonctions de représentant de la communauté héréditaire de E______, avec pouvoir de représenter la succession, de l’administrer et de préparer le partage. Il résulte des pièces produites devant la Chambre de surveillance par D______ que le représentant de l’hoirie a débuté son activité sans attendre le résultat de l’appel pendant devant la Cour de justice contre sa nomination. En</w:t>
      </w:r>
    </w:p>
    <w:p>
      <w:r>
        <w:t>- 11/12 -</w:t>
      </w:r>
    </w:p>
    <w:p>
      <w:r>
        <w:t>C/24631/2014-CS l’état, la succession est par conséquent administrée par un représentant neutre, lequel agit dans l’intérêt de l’ensemble des héritiers. Les craintes exprimées par les recourantes que C______ puisse porter atteinte aux intérêts financiers de son fils ne sont ainsi pas fondées pour la double raison exposée ci-dessus. Il sera en outre rappelé aux recourantes que selon le système voulu par le législateur, les parents, détenteurs de l’autorité parentale, représentent d’une part leurs enfants mineurs et administrent d’autre part leurs biens, avec la possibilité de les utiliser dans une certaine mesure pour leur l’entretien, leur éducation ou leur formation, voire, dans certains cas, pour les besoins du ménage. Le législateur a par ailleurs prévu certains garde-fous visant à s’assurer que les parents administrent les biens de leurs enfants de façon correcte et dans l’intérêt de ces derniers (inventaire, remise périodique de comptes et de rapports, instructions données par l’autorité de protection). La nomination d’un curateur chargé d’administrer les biens d’un mineur représente dès lors l’ultima ratio, lorsqu’il n’y a pas d’autre façon d’empêcher que les biens de l’enfant soient mis en péril. En l’espèce, l’enfant D______ n’a pas encore reçu sa part d’héritage de sorte que les craintes exprimées par les recourantes qu’elle n’utilise les biens de son fils dans son propre intérêt apparaissent pour le moins prématurées. Infondé, le recours sera rejeté.</w:t>
      </w:r>
    </w:p>
    <w:p>
      <w:r>
        <w:rPr>
          <w:b/>
        </w:rPr>
        <w:t>E. 4</w:t>
      </w:r>
    </w:p>
    <w:p>
      <w:r>
        <w:t>La procédure portant sur des mesures de protection d'un mineur, elle est gratuite (art. 81 al. 1 LaCC). * * * * *</w:t>
      </w:r>
    </w:p>
    <w:p>
      <w:r>
        <w:t>- 12/12 -</w:t>
      </w:r>
    </w:p>
    <w:p>
      <w:r>
        <w:t>C/24631/2014-CS PAR CES MOTIFS, La Chambre de surveillance :</w:t>
      </w:r>
    </w:p>
    <w:p>
      <w:r>
        <w:t>A la forme : Déclare recevable le recours formé par A______ et B______ contre la décision DTAE/4980/2023 rendue le 29 juin 2023 par le Tribunal de protection de l’adulte et de l’enfant dans la cause C/24631/2014. Au fond : Le rejette. Dit que la procédure est gratuite.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