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DAS/26/2022 vom 28. Oktober 2021</w:t>
      </w:r>
    </w:p>
    <w:p>
      <w:r>
        <w:t>GE Cour de justice, 2021-10-28, FR</w:t>
      </w:r>
    </w:p>
    <w:p>
      <w:r>
        <w:rPr>
          <w:b/>
        </w:rPr>
        <w:t xml:space="preserve">Quelle: </w:t>
      </w:r>
      <w:r>
        <w:t>https://mcp.opencaselaw.ch/entscheid/ge_gerichte_DAS_26_2022</w:t>
      </w:r>
    </w:p>
    <w:p>
      <w:r>
        <w:t>FR: GE_GERICHTE DAS/26/2022 du 28 octobre 2021</w:t>
      </w:r>
    </w:p>
    <w:p>
      <w:r>
        <w:t>IT: GE_GERICHTE DAS/26/2022 del 28 ottobre 2021</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et 2 LaCC). Le délai de recours est de trente jours à compter de la notification de la décision (art. 450b al. 1 CC).</w:t>
      </w:r>
    </w:p>
    <w:p>
      <w:r>
        <w:t>- 5/7 -</w:t>
      </w:r>
    </w:p>
    <w:p>
      <w:r>
        <w:t>C/16697/2020-CS</w:t>
      </w:r>
    </w:p>
    <w:p>
      <w:r>
        <w:rPr>
          <w:b/>
        </w:rPr>
        <w:t>E. 1.2</w:t>
      </w:r>
    </w:p>
    <w:p>
      <w:r>
        <w:t>En l'espèce, déposé dans les forme et délai prévus par la loi, par une personne ayant qualité pour recourir et devant l'autorité compétente, le recours est recevable.</w:t>
      </w:r>
    </w:p>
    <w:p>
      <w:r>
        <w:rPr>
          <w:b/>
        </w:rPr>
        <w:t>E. 2</w:t>
      </w:r>
    </w:p>
    <w:p>
      <w:r>
        <w:t>La recourante sollicite l'annulation de la mesure prononcée par le Tribunal de protection instituant une curatelle en sa faveur.</w:t>
      </w:r>
    </w:p>
    <w:p>
      <w:r>
        <w:rPr>
          <w:b/>
        </w:rPr>
        <w:t>E. 2.1</w:t>
      </w:r>
    </w:p>
    <w:p>
      <w:r>
        <w:t>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FF2006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visé, représenter l'atteinte la plus faible possible pour être compatible avec celui-ci et rester dans un rapport raisonnable entre lui et l'atteinte engendrée (arrêt du Tribunal fédéral 5A_318/2013 consid. 2.4; ATF 140 III 49 consid. 4.3.1).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rPr>
          <w:b/>
        </w:rPr>
        <w:t>E. 2.2</w:t>
      </w:r>
    </w:p>
    <w:p>
      <w:r>
        <w:t>Dans le cas d'espèce, la recourante considère que l'ordonnance entreprise est disproportionnée, dans la mesure où le prononcé d'une curatelle en sa faveur ne se justifie pas. La recourante ne conteste pas à ce propos que les mesures prises par le Tribunal de protection antérieurement à la décision querellée étaient nécessaires à stabiliser sa situation financière, à lui permettre de recevoir les aides auxquelles elle pouvait prétendre, indispensables à son entretien, et au paiement de ses charges, et à lui permettre de retrouver une solution de relogement.</w:t>
      </w:r>
    </w:p>
    <w:p>
      <w:r>
        <w:t>Il ressort certes des observations des curateurs dans le cadre de l'instruction du recours que la recourante est une personne indépendante, qui semble gérer correctement ses ressources. Toutefois, par méconnaissance des arcanes administratives, elle n'avait pas été capable seule d'obtenir les ressources qui lui permettaient d'assurer son entretien. En ce sens, la mesure de curatelle, qui a</w:t>
      </w:r>
    </w:p>
    <w:p>
      <w:r>
        <w:t>- 6/7 -</w:t>
      </w:r>
    </w:p>
    <w:p>
      <w:r>
        <w:t>C/16697/2020-CS permis de faire appel aux prestations auxquelles la recourante pouvait prétendre et qui lui sont maintenant versées avec régularité, apparaît parfaitement justifiée sur ce point.</w:t>
      </w:r>
    </w:p>
    <w:p>
      <w:r>
        <w:t>La recourante ne dit pas le contraire lorsqu'elle expose avoir renoncé à recourir contre les mesures antérieures. Elle estime toutefois que sa situation étant assainie, la mesure de curatelle n'est plus nécessaire.</w:t>
      </w:r>
    </w:p>
    <w:p>
      <w:r>
        <w:t>Avec le Tribunal de protection, la Chambre de céans considère qu'une levée pure et simple de la mesure de curatelle est prématurée. En effet, si ne figure au dossier aucun élément permettant d'indiquer que la recourante souffrirait d'un trouble psychique ou d'une déficience mentale, il ressort du dossier qu'elle se trouve dans un état de faiblesse, notamment, en matière administrative, qui nécessite à tout le moins encore durant un certain temps la prise en charge de la gestion de ses ressources, notamment par un tiers. En effet, sa situation de logement n'est pas stabilisée, un logement pérenne ne lui ayant pas encore été trouvé. Le logement dans une chambre d'hôtel, soumis aux aléas de l'augmentation des tarifs hôteliers, n'est manifestement pas une solution à long terme. Tant qu'un bail fixe n'aura pas été conclu pour un logement pérenne, il est nécessaire, afin d'éviter que la recourante ne se retrouve dans une situation identique à celle qui existait au moment où le Tribunal de protection a été saisi par le Service social de la Commune de E______, que la mesure perdure. En ce sens, l'ordonnance sera confirmée.</w:t>
      </w:r>
    </w:p>
    <w:p>
      <w:r>
        <w:t>Par contre, avec la recourante, la Chambre de céans considère qu'il n'existe aucun élément au dossier permettant de confier aux curateurs les tâches relatives à son bien-être social ou à son état de santé, la recourante apparaissant parfaitement apte, à défaut d'éléments contraires, de décider de sa prise en charge à ce sujet. Elle est par ailleurs décrite, à teneur du dossier, comme d'apparence soignée.</w:t>
      </w:r>
    </w:p>
    <w:p>
      <w:r>
        <w:t>Par conséquent, en ce sens, le recours sera admis.</w:t>
      </w:r>
    </w:p>
    <w:p>
      <w:r>
        <w:rPr>
          <w:b/>
        </w:rPr>
        <w:t>E. 2.3</w:t>
      </w:r>
    </w:p>
    <w:p>
      <w:r>
        <w:t>En définitive, le recours sera rejeté en tant qu'il vise la levée de la curatelle de représentation et de gestion en matière d'affaires administratives, juridiques et relative aux revenus et biens de la recourante, mais admis en tant que la curatelle porte sur le bien-être social et la santé de celle-ci.</w:t>
      </w:r>
    </w:p>
    <w:p>
      <w:r>
        <w:rPr>
          <w:b/>
        </w:rPr>
        <w:t>E. 3</w:t>
      </w:r>
    </w:p>
    <w:p>
      <w:r>
        <w:t>Au vu de l'issue de la procédure, les frais seront laissés à la charge de l'Etat et l'avance de frais versée par la recourante, lui sera restituée. * * * * *</w:t>
      </w:r>
    </w:p>
    <w:p>
      <w:r>
        <w:t>- 7/7 -</w:t>
      </w:r>
    </w:p>
    <w:p>
      <w:r>
        <w:t>C/16697/2020-CS PAR CES MOTIFS, La Chambre de surveillance : A la forme : Déclare recevable le recours formé le 28 octobre 2021 par A______ contre l'ordonnance DTAE/5421/2021 rendue le 16 août 2021 par le Tribunal de protection de l'adulte et de l'enfant dans la cause C/16697/2020. Au fond : Annule le chiffre 3 du dispositif de l'ordonnance attaquée en tant qu'il concerne la mission donnée aux curateurs de veiller au bien-être social de A______ et de veiller à son état de santé. Confirme l'ordonnance querellée pour le surplus. Sur les frais : Laisse les frais à la charge de l'Etat de Genève. Ordonne aux Services financiers du Pouvoir judiciaire de restituer la somme de 400 fr., versée à titre d'avance de frais, à A______.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