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DAS/26/2021 vom 23. Dezember 2020</w:t>
      </w:r>
    </w:p>
    <w:p>
      <w:r>
        <w:t>GE Cour de justice, 2020-12-23, FR</w:t>
      </w:r>
    </w:p>
    <w:p>
      <w:r>
        <w:rPr>
          <w:b/>
        </w:rPr>
        <w:t xml:space="preserve">Quelle: </w:t>
      </w:r>
      <w:r>
        <w:t>https://mcp.opencaselaw.ch/entscheid/ge_gerichte_DAS_26_2021</w:t>
      </w:r>
    </w:p>
    <w:p>
      <w:r>
        <w:t>FR: GE_GERICHTE DAS/26/2021 du 23 décembre 2020</w:t>
      </w:r>
    </w:p>
    <w:p>
      <w:r>
        <w:t>IT: GE_GERICHTE DAS/26/2021 del 23 dicembre 2020</w:t>
      </w:r>
    </w:p>
    <w:p>
      <w:pPr>
        <w:pStyle w:val="Heading2"/>
      </w:pPr>
      <w:r>
        <w:t>Volltext</w:t>
      </w:r>
    </w:p>
    <w:p>
      <w:r>
        <w:t>REPUBLIQUE ET</w:t>
      </w:r>
    </w:p>
    <w:p>
      <w:r>
        <w:t>CANTON DE GENEVE POUVOIR JUDICIAIRE C/26749/2015-CS DAS/26/2021 DECISION DE LA COUR DE JUSTICE Chambre de surveillance DU LUNDI 8 FEVRIER 2021</w:t>
      </w:r>
    </w:p>
    <w:p>
      <w:r>
        <w:t>Recours (C/26749/2015-CS) formé en date du 25 janvier 2021 par Madame A______, domiciliée ______, comparant par Me Catarina MONTEIRO SANTOS, avocate, en l'Etude de laquelle elle élit domicile. * * * * * Décision communiquée par plis recommandés du greffier du 8 février 2021 à : - Madame A______ c/o Me Catarina MONTEIRO SANTOS, avocate. Boulevard des Tranchées 4, 1205 Genève. - Monsieur B______ Monsieur C______ SERVICE DE PROTECTION DES MINEURS Case postale 75, 1211 Genève 8. - TRIBUNAL DE PROTECTION DE L'ADULTE ET DE L'ENFANT.</w:t>
      </w:r>
    </w:p>
    <w:p>
      <w:r>
        <w:t>- 2/4 -</w:t>
      </w:r>
    </w:p>
    <w:p>
      <w:r>
        <w:t>C/26749/2015-CS Attendu, EN FAIT, que par ordonnance du 23 décembre 2020 (DTAE/7539/2020), le Tribunal de protection de l'adulte et de l'enfant (ci-après : le Tribunal de protection) a maintenu le mandat d'évaluation de la situation du mineur D______, né le ______ 2015, confié au Service de protection des mineurs (ch. 1 du dispositif), autorisé l'intervenant en protection de l'enfant dudit Service à faire appel à la force publique pour accéder au logement du mineur, sis avenue 1______ à Genève (ch. 2), déclaré ladite décision immédiatement exécutoire, nonobstant recours (ch. 3), laissé les frais à la charge de l'Etat et débouté les parties de toutes autres conclusions (ch. 4 et 5); Que le 25 janvier 2021, A______ a interjeté recours contre cette ordonnance, concluant préalablement à la restitution de l'effet suspensif; Qu'elle allègue qu'il n'existe aucune urgence particulière justifiant le recours à la force publique pour entrer dans son appartement; Qu'elle expose que le Service de protection des mineurs s'est entretenu avec le pédiatre et l'établissement scolaire de son fils et qu'aucune inquiétude particulière n'est à relever et qu'enfin le retrait de l'effet suspensif rendrait son recours sans objet; Que par observations du 4 février 2021, le Service de protection des mineurs s'est opposé à la restitution de l'effet suspensif, car ce dernier l'empêcherait de mener son évaluation sociale à terme et laisserait potentiellement le mineur en situation de danger;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 dans le cas d'espèce et sans préjuger du fond, il n'apparaît pas à teneur de dossier qu'un danger immédiat nécessite la mise en œuvre de la décision querellée avant qu'il soit statué sur la pertinence du recours ; Qu'en effet, la décision attaquée a été rendue le 23 décembre 2020, certes notamment suite à diverses obstructions de la part de la recourante, alors que le rapport de police à sa base date du 30 août 2019, soit un an et demi avant; Que n'a pas été estimée indispensable pour protéger le mineur la prise de mesures d'urgences durant cette période;</w:t>
      </w:r>
    </w:p>
    <w:p>
      <w:r>
        <w:t>- 3/4 -</w:t>
      </w:r>
    </w:p>
    <w:p>
      <w:r>
        <w:t>C/26749/2015-CS Que les éléments recueillis par le SPMi auprès de tiers relativement à l'enfant lui-même ne sont pas particulièrement alarmants au point de nécessiter la visite du logement avant l'issue de la procédure de recours; Que dès lors, l'effet suspensif sera restitué au recours; Qu'il sera cependant rappelé à ce stade déjà à la recourante son obligation de collaborer à l'établissement des faits et la possibilité de l'y contraindre par la force en cas de refus (art. 314 e al.1CC); Que le sort des frais de la présente décision sera réservé et tranché avec le fond (art. 77 LaCC). * * * * *</w:t>
      </w:r>
    </w:p>
    <w:p>
      <w:r>
        <w:t>- 4/4 -</w:t>
      </w:r>
    </w:p>
    <w:p>
      <w:r>
        <w:t>C/26749/2015-CS PAR CES MOTIFS, Le président de la Chambre de surveillance : Statuant sur effet suspensif : Restitue l'effet suspensif au recours formé le 25 janvier 2021 par A______ contre l'ordonnance DTAE/7539/2020 rendue par le Tribunal de protection de l'adulte et de l'enfant le 23 décembre 2020 dans la cause C/26749/2015. Réserve le sort des éventuels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