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DAS/269/2018 vom 27. Juni 2011</w:t>
      </w:r>
    </w:p>
    <w:p>
      <w:r>
        <w:t>GE Cour de justice, 2011-06-27, FR</w:t>
      </w:r>
    </w:p>
    <w:p>
      <w:r>
        <w:rPr>
          <w:b/>
        </w:rPr>
        <w:t xml:space="preserve">Quelle: </w:t>
      </w:r>
      <w:r>
        <w:t>https://mcp.opencaselaw.ch/entscheid/ge_gerichte_DAS_269_2018</w:t>
      </w:r>
    </w:p>
    <w:p>
      <w:r>
        <w:t>FR: GE_GERICHTE DAS/269/2018 du 27 juin 2011</w:t>
      </w:r>
    </w:p>
    <w:p>
      <w:r>
        <w:t>IT: GE_GERICHTE DAS/269/2018 del 27 giugno 2011</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un proche, en l'occurrence le père de la personne placée sous curatelle.</w:t>
      </w:r>
    </w:p>
    <w:p>
      <w:r>
        <w:t>- 5/9 -</w:t>
      </w:r>
    </w:p>
    <w:p>
      <w:r>
        <w:t>C/11737/2011-CS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Le recourant a allégué dans son recours que "la mesure censée protéger" son fils n'était plus nécessaire. L'argumentation développée par le recourant ne permettant pas de déterminer précisément s'il a entendu contester la mesure de curatelle elle- même ou exclusivement le choix des curateurs, la Chambre de surveillance examinera brièvement le bien-fondé de la mesure.</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et de la fortune, ou l'ensemble des biens (art. 395 al. 1 CC).</w:t>
      </w:r>
    </w:p>
    <w:p>
      <w:r>
        <w:t>- 6/9 -</w:t>
      </w:r>
    </w:p>
    <w:p>
      <w:r>
        <w:t>C/11737/2011-CS</w:t>
      </w:r>
    </w:p>
    <w:p>
      <w:r>
        <w:rPr>
          <w:b/>
        </w:rPr>
        <w:t>E. 2.2</w:t>
      </w:r>
    </w:p>
    <w:p>
      <w:r>
        <w:t>Dans le cas d'espèce, il est établi et non contesté par le recourant que son fils souffre de graves séquelles de l'accident de la circulation dont il a été victime en avril 2011, lequel a occasionné des lésions cérébrales. B______ est toujours hospitalisé et alité depuis lors, partiellement, voire totalement incapable de communiquer et de se mouvoir. Il est, de ce fait, incapable de gérer ses affaires et de désigner un mandataire; il doit par conséquent non seulement être aidé dans la gestion de ses affaires courantes, mais être représenté, lui-même ne pouvant agir. La nécessité de la mesure de protection prononcée le 16 décembre 2011, transformée le 2 décembre 2013 en une curatelle de représentation avec gestion, ne saurait par conséquent sérieusement être remise en cause. Seule doit par conséquent être examinée l'opportunité de désigner, en lieu et place de C______, avocat, des intervenants du Service de protection de l'adulte en qualité de co-curateurs chargés des tâches administratives, au côté de A______, chargé pour sa part de veiller au bien-être de son fils et de le représenter sur le plan médical.</w:t>
      </w:r>
    </w:p>
    <w:p>
      <w:r>
        <w:rPr>
          <w:b/>
        </w:rPr>
        <w:t>E. 3</w:t>
      </w:r>
    </w:p>
    <w:p>
      <w:r>
        <w:t>3.1.1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3.1.2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w:t>
      </w:r>
    </w:p>
    <w:p>
      <w:r>
        <w:t>- 7/9 -</w:t>
      </w:r>
    </w:p>
    <w:p>
      <w:r>
        <w:t>C/11737/2011-CS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in Commentaire du droit de la famille, Protection de l'adulte, 2012, ad art. 423 CC).</w:t>
      </w:r>
    </w:p>
    <w:p>
      <w:r>
        <w:rPr>
          <w:b/>
        </w:rPr>
        <w:t>E. 3.2</w:t>
      </w:r>
    </w:p>
    <w:p>
      <w:r>
        <w:t>Dans le cas d'espèce, le Tribunal de protection avait dans un premier temps désigné le recourant aux fonctions de curateur de son fils et l'avait chargé de gérer et administrer ses biens, d'encaisser ses revenus et ses rentes et de pourvoir à leur gestion, ainsi que de le représenter à l'égard de ses créanciers. Au fil du temps, il est toutefois apparu que le recourant éprouvait des difficultés à gérer les aspects administratifs de son mandat, en dépit des explications qui lui avaient été fournies par le Service du contrôle. Le recourant ne parvenait pas à fournir un rapport et des pièces conformes aux attentes de ce Service, de sorte qu'il n'était pas possible de procéder à un contrôle approprié de son activité; des dépenses importantes demeuraient injustifiées. Invité à se déterminer sur les points soulevés par le Tribunal de protection, le recourant ne s'est pas prononcé; il n'a pas davantage recouru contre l'ordonnance rendue par le Tribunal de protection le 1er septembre 2016, laquelle ne lui confiait plus que les tâches consistant à veiller au bien-être social et à l'état de santé de son fils et à le représenter dans ce cadre, les aspects administratifs et de gestion ayant été confiés à C______, avocat, lequel était notamment chargé d'établir les comptes couvrant la période du 31 décembre 2013 au 31 décembre 2015 que le recourant n'avait pas été en mesure de présenter de façon conforme aux attentes du Tribunal de protection. A______ n'indique pas, dans son recours contre l'ordonnance du 18 septembre 2018, en quoi la situation serait aujourd'hui différente de celle qui prévalait en 2016 et qui avait nécessité que les tâches administratives et de gestion soient confiées à un co-curateur. Le fait qu'il soit très entouré par les membres de sa famille ne signifie pas encore que ceux-ci seront à même ou auront, de manière constante, la disponibilité nécessaire pour l'aider à effectuer les tâches administratives et de gestion nécessaires, à tenir une comptabilité et à rédiger les rapports d'activité à l'attention du Tribunal de protection, étant relevé que la famille élargie était déjà présente en 2016, ce qui n'avait toutefois pas permis au recourant d'accomplir à satisfaction les tâches qui lui avaient été confiées. Il découle de ce qui précède que c'est à raison que le Tribunal de protection a confié à des intervenants du Service de protection de l'adulte les tâches précédemment assumées par C______, avocat.</w:t>
      </w:r>
    </w:p>
    <w:p>
      <w:r>
        <w:t>- 8/9 -</w:t>
      </w:r>
    </w:p>
    <w:p>
      <w:r>
        <w:t>C/11737/2011-CS Infondé, le recours doit être rejeté.</w:t>
      </w:r>
    </w:p>
    <w:p>
      <w:r>
        <w:rPr>
          <w:b/>
        </w:rPr>
        <w:t>E. 4</w:t>
      </w:r>
    </w:p>
    <w:p>
      <w:r>
        <w:t>Les frais judiciaires du recours seront fixés à 400 fr. (art. 67A et B du Règlement fixant le tarif des frais en matière civile). Ils seront mis à la charge du recourant, qui succombe et compensés avec l'avance de frais versée, qui reste acquise à l'Etat de Genève (art. 111 al. 1 CPC). * * * * *</w:t>
      </w:r>
    </w:p>
    <w:p>
      <w:r>
        <w:t>- 9/9 -</w:t>
      </w:r>
    </w:p>
    <w:p>
      <w:r>
        <w:t>C/11737/2011-CS PAR CES MOTIFS, La Chambre de surveillance : A la forme : Déclare recevable le recours formé par A______ contre l'ordonnance DTAE/5926/2018 rendue le 18 septembre 2018 par le Tribunal de protection de l'adulte et de l'enfant dans la cause C/11737/2011-2. Au fond : Le rejette. Sur les frais : Arrête les frais judiciaires de recours à 400 fr., les met à la charge de A______ et les compense avec l'avance de frais versée,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