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DAS/267/2024 vom 16. Mai 2024</w:t>
      </w:r>
    </w:p>
    <w:p>
      <w:r>
        <w:t>GE Cour de justice, 2024-05-16, FR</w:t>
      </w:r>
    </w:p>
    <w:p>
      <w:r>
        <w:rPr>
          <w:b/>
        </w:rPr>
        <w:t xml:space="preserve">Quelle: </w:t>
      </w:r>
      <w:r>
        <w:t>https://mcp.opencaselaw.ch/entscheid/ge_gerichte_DAS_267_2024</w:t>
      </w:r>
    </w:p>
    <w:p>
      <w:r>
        <w:t>FR: GE_GERICHTE DAS/267/2024 du 16 mai 2024</w:t>
      </w:r>
    </w:p>
    <w:p>
      <w:r>
        <w:t>IT: GE_GERICHTE DAS/267/2024 del 16 maggio 2024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mineurs concernés,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à l'exclusion du CPC (art. 450f CC cum art. 31 al. 1</w:t>
      </w:r>
    </w:p>
    <w:p>
      <w:r>
        <w:t>- 8/11 -</w:t>
      </w:r>
    </w:p>
    <w:p>
      <w:r>
        <w:t>C/1898/2013-CS let. c et let. d a contrario LaCC), ne stipulant aucune restriction en matière de faits et de moyens de preuve nouveaux en deuxième instance, ceux invoqués devant la Chambre de céans sont recevables.</w:t>
      </w:r>
    </w:p>
    <w:p>
      <w:r>
        <w:rPr>
          <w:b/>
        </w:rPr>
        <w:t>E. 2</w:t>
      </w:r>
    </w:p>
    <w:p>
      <w:r>
        <w:t>La recourante s’oppose au droit de visite fixé par le Tribunal de protection en sa faveur. 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w:t>
      </w:r>
    </w:p>
    <w:p>
      <w:r>
        <w:t>- 9/11 -</w:t>
      </w:r>
    </w:p>
    <w:p>
      <w:r>
        <w:t>C/1898/2013-CS problèmes récurrents, in Enfant et divorce, 2006 p. 122 et réf. citées; MEIER/STETTLER, Droit de la filiation, 6ème éd. n. 1014 ss).</w:t>
      </w:r>
    </w:p>
    <w:p>
      <w:r>
        <w:rPr>
          <w:b/>
        </w:rPr>
        <w:t>E. 2.2</w:t>
      </w:r>
    </w:p>
    <w:p>
      <w:r>
        <w:t>En l'espèce, le droit de visite de la recourante sur ses fils H______ et I______, d'ores et déjà limité, a encore été réduit en septembre 2022, dès lors qu'il ne se passait pas dans de bonnes conditions (prise en charge inadéquate, désœuvrement des mineurs chez leur mère, exposition à la violence du couple A______- M______), puis suspendu, en janvier 2023, en raison, notamment, des conditions de logement de la mère, qui ne permettaient plus d'accueillir les mineurs. Il a été depuis lors repris, durant deux heures, à quinzaine chez le grand-père maternel, et une fois par mois chez la fille aînée de la recourante. Tous deux avaient spécifié qu'il n'était pas concevable pour eux d'accueillir la recourante et les mineurs à la demi-journée. Ainsi, indépendamment de l'intérêt des mineurs à l'élargissement du droit de visite de leur mère, qui sera examiné ci-après, le droit de visite chez le grand-père maternel ne peut être étendu à quatre heures, celui-ci n'y ayant aucunement consenti. Cette conclusion de la recourante doit donc être rejetée pour ce motif déjà. Dans l'ordonnance contestée, le Tribunal de protection a considéré qu'il convenait d'élargir le droit de visite de la recourante (essentiellement en raison de l'absence durant six mois de la fille aînée et du bon déroulement des visites chez le grand- père) à deux heures à quinzaine, afin de permettre à celle-ci d'effectuer une activité avec ses fils. Elle souhaite dorénavant que cette visite du samedi à quinzaine, qu'elle exerce seule, soit élargie à quatre heures, se plaignant essentiellement de la durée du trajet nécessaire pour rendre visite à ses fils. Seul l'intérêt des mineurs devant être pris en considération, les inconvénients soulevés par la mère sont, à cet égard, sans pertinence. Par ailleurs, le droit de visite avec ses fils H______ et I______ ne se passe pas aussi bien qu'elle le prétend. Ce droit de visite du samedi à quinzaine a été instauré, comme relevé supra, afin de permettre à la mère de mettre en place une activité avec ses fils, ce qu'elle n'est toutefois pas parvenue à faire, malgré les intentions qu'elle avait exprimées aux curateurs des enfants dans ce sens. Il ressort en effet des observations du SPMi que la recourante n'a mis en place aucune activité pour les mineurs, qu'elle se contente d'emmener au centre commercial et de laisser jouer sur leur console, comme cela avait déjà été observé en 2022 lorsque son droit de visite avait été limité, compte tenu notamment des difficultés qu'elle rencontrait à stimuler ses enfants, difficultés qui manifestement perdurent. Les mineurs, qui semblent s'ennuyer lors de cette visite du samedi, ne manifestent pas le souhait qu'elle soit élargie. Les enfants sont par ailleurs soumis à des pressions de la part de leur mère qui leur demande de dire à leurs curateurs qu'ils voudraient "se doucher et dormir chez elle", ainsi que la voir plus souvent, ce qu'ils ne souhaitent pas, et n'osent lui dire, en raison de la réaction que cette opposition susciterait chez elle. La</w:t>
      </w:r>
    </w:p>
    <w:p>
      <w:r>
        <w:t>- 10/11 -</w:t>
      </w:r>
    </w:p>
    <w:p>
      <w:r>
        <w:t>C/1898/2013-CS recourante passerait, selon les mineurs, son temps à crier et à se disputer avec chaque membre de la famille, sans compter qu'elle rendrait ses fils H______ et I______ (qui avaient dénoncé l'état insalubre de son logement), responsables du placement des mineurs L______ et K______, ce qui n'est pas acceptable et est susceptible de mettre en danger leur bon développement. Ainsi, à l'évidence, la recourante ne parvient pas à adopter un comportement adéquat avec ses fils, même sur un temps de visite relativement court, en dépit du fait qu'elle a débuté un suivi psychothérapeutique, qui ne semble pas encore avoir porté ses fruits, à supposer qu'il soit suffisant. Il ressort en effet de l'expertise familiale rendue le</w:t>
      </w:r>
    </w:p>
    <w:p>
      <w:r>
        <w:rPr>
          <w:b/>
        </w:rPr>
        <w:t>E. 4</w:t>
      </w:r>
    </w:p>
    <w:p>
      <w:r>
        <w:t>juillet 2019 que les capacités parentales de la recourante sont réduites, en raison du trouble de la personnalité mixte dont elle souffre, comportant des traits narcissiques et paranoïaques. Ainsi, à l'instar des curateurs du SPMi et au vu de l'ensemble de ce qui précède, la Chambre de surveillance considère qu'il n'est pas dans l'intérêt des mineurs d'élargir le droit de visite de la recourante au-delà de ce qui a été fixé dans l'ordonnance contestée, et encore moins à long terme, l'évolution de la situation n'étant pas prévisible. Il conviendra, au contraire, d'envisager la possibilité d'encadrer ce droit de visite par des professionnels, s'il devait s'avérer que la recourante continue à crier en présence des enfants, à exercer des pressions sur eux et à ne pas savoir comment les prendre en charge convenablement durant le temps de visite qu'elle exerce. Le recours sera ainsi rejeté et la recourante sera déboutée de toutes ses conclusions. 3. La procédure de recours, qui porte sur les relations personnelles (art. 77 LaCC), n'est pas gratuite. Les frais de la procédure de recours seront arrêtés à 600 fr. et mis à la charge de la recourante qui succombe (art. 106 al. 1 CPC). Ils seront provisoirement laissés à la charge de l'Etat de Genève, compte tenu du bénéfice de l'assistance judiciaire, jusqu'à décision contraire du Service compétent, notamment au vu de l’absence de chance de succès de son recours. Il n'est pas alloué de dépens. * * * * *</w:t>
      </w:r>
    </w:p>
    <w:p>
      <w:r>
        <w:t>- 11/11 -</w:t>
      </w:r>
    </w:p>
    <w:p>
      <w:r>
        <w:t>C/1898/2013-CS PAR CES MOTIFS, La Chambre de surveillance : A la forme : Déclare recevable le recours formé le 16 mai 2024 par A______ contre l'ordonnance DTAE/1354/2024 rendue le 12 février 2024 par le Tribunal de protection de l'adulte et de l'enfant dans la cause C/1898/2013. Au fond : Le rejette. Déboute A______ de toutes ses conclusions. Sur les frais : Arrête les frais judiciaires de recours à 600 fr., les met à la charge de A______ et les laisse provisoirement à la charge de l'Etat.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