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DAS/264/2024 vom 8. August 2024</w:t>
      </w:r>
    </w:p>
    <w:p>
      <w:r>
        <w:t>GE Cour de justice, 2024-08-08, FR</w:t>
      </w:r>
    </w:p>
    <w:p>
      <w:r>
        <w:rPr>
          <w:b/>
        </w:rPr>
        <w:t xml:space="preserve">Quelle: </w:t>
      </w:r>
      <w:r>
        <w:t>https://mcp.opencaselaw.ch/entscheid/ge_gerichte_DAS_264_2024</w:t>
      </w:r>
    </w:p>
    <w:p>
      <w:r>
        <w:t>FR: GE_GERICHTE DAS/264/2024 du 8 août 2024</w:t>
      </w:r>
    </w:p>
    <w:p>
      <w:r>
        <w:t>IT: GE_GERICHTE DAS/264/2024 del 8 agosto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w:t>
      </w:r>
    </w:p>
    <w:p>
      <w:r>
        <w:t>- 7/9 -</w:t>
      </w:r>
    </w:p>
    <w:p>
      <w:r>
        <w:t>C/26809/2022-CS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 2.2 En l’espèce, la mineure, née le ______ 2022, n’est âgée que de deux ans et demi. Elle a vécu moins d’un an avec son père, ses parents s’étant séparés dans le courant du mois d’avril 2023, alors qu’elle n’était qu’un nourrisson. La prise en charge de l’enfant durant la vie commune a donné lieu à des versions divergentes : le recourant a soutenu s’être quotidiennement occupé de la mineure lorsqu’il faisait ménage commun avec la mère; cette dernière l’a contesté. Après la séparation et en raison du conflit qui opposait les parties, le père n’a pas exercé un droit de visite régulier, sous réserve de rencontres qui ont eu lieu au sein de la crèche F______ à raison de quelques heures par semaine et qui ont cessé en mars 2024, soit depuis près de huit mois. Ainsi et même en admettant que le recourant se soit régulièrement occupé de sa fille durant la vie commune, il ne l’a plus prise en charge de manière autonome depuis plus d’un an et demi, leurs contacts s’étant limités à des visites au sein de la crèche, soit un milieu fermé et en présence de tiers. A ce stade et compte tenu de ce qui précède, les compétences parentales du recourant ne sont pas connues, ce qui justifie de procéder graduellement et d’opérer un certain contrôle. A cela s’ajoute également le ressenti de l’enfant. Le fait que le recourant allègue avoir eu le temps de nouer une relation forte avec sa fille atteste en réalité de son absence de prise en considération des besoins et des émotions de celle-ci. En raison de son âge, la mineure ne peut en effet avoir aucun souvenir de la vie commune de ses parents. Par la suite, elle a occasionnellement vu son père dans un environnement qui lui était connu, soit la crèche qu’elle fréquentait, ces visites s’étant interrompues il y a huit mois désormais. Il convient par conséquent de se montrer prudent dans la reprise des relations personnelles, celles-ci nécessitant, dans un premier temps, de se dérouler en présence de tiers en mesure de se prononcer sur les capacités parentales du recourant d’une part et d’être attentifs aux réactions et</w:t>
      </w:r>
    </w:p>
    <w:p>
      <w:r>
        <w:t>- 8/9 -</w:t>
      </w:r>
    </w:p>
    <w:p>
      <w:r>
        <w:t>C/26809/2022-CS émotions manifestées par la mineure d’autre part. S’agissant de l’institution la plus adéquate pour ce faire, les avis du SEASP et des curateurs du SPMI semblent diverger. En l’état, la décision attaquée, qui a mentionné « une structure thérapeutique de type G______ », ce qui ne semble pas en exclure une autre, sera intégralement confirmée. Il appartiendra au recourant de collaborer avec le SPMI et les différents intervenants dans cette phase de reprise des liens, afin que celle-ci puisse ensuite évoluer vers une prise en charge plus autonome de l’enfant. Au vu de ce qui précède, l’ordonnance attaquée n’est pas critiquable.</w:t>
      </w:r>
    </w:p>
    <w:p>
      <w:r>
        <w:rPr>
          <w:b/>
        </w:rPr>
        <w:t>E. 3</w:t>
      </w:r>
    </w:p>
    <w:p>
      <w:r>
        <w:t>La procédure portant sur les relations personnelles n’est pas gratuite (art. 77 et 81 al. 1 a contrario LaCC). Les frais judiciaires du recours seront arrêtés à 400 fr. (art. 67A et 67B RTFMC) et mis à la charge du recourant, qui succombe. Ils seront compensés avec l’avance de frais versée, qui reste acquise à l’Etat de Genève (art. 111 al. 1 CPC).</w:t>
      </w:r>
    </w:p>
    <w:p>
      <w:r>
        <w:t>Compte tenu de la nature familiale du litige, il ne sera pas alloué de dépens (art. 107 al. 1 let. c CPC). * * * * *</w:t>
      </w:r>
    </w:p>
    <w:p>
      <w:r>
        <w:t>- 9/9 -</w:t>
      </w:r>
    </w:p>
    <w:p>
      <w:r>
        <w:t>C/26809/2022-CS PAR CES MOTIFS, La Chambre de surveillance : A la forme : Déclare recevable le recours formé par A______ contre l’ordonnance DTAE/4812/2024 rendue le 1er juillet 2024 par le Tribunal de protection de l’adulte et de l’enfant dans la cause C/26809/2022. Au fond : Le rejette. Sur les frais : Arrête les frais judiciaires du recours à 400 fr., les met à la charge de A______ et les compense avec l’avance de frais versée, qui reste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