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DAS/264/2017 vom 11. September 2017</w:t>
      </w:r>
    </w:p>
    <w:p>
      <w:r>
        <w:t>GE Cour de justice, 2017-09-11, FR</w:t>
      </w:r>
    </w:p>
    <w:p>
      <w:r>
        <w:rPr>
          <w:b/>
        </w:rPr>
        <w:t xml:space="preserve">Quelle: </w:t>
      </w:r>
      <w:r>
        <w:t>https://mcp.opencaselaw.ch/entscheid/ge_gerichte_DAS_264_2017</w:t>
      </w:r>
    </w:p>
    <w:p>
      <w:r>
        <w:t>FR: GE_GERICHTE DAS/264/2017 du 11 septembre 2017</w:t>
      </w:r>
    </w:p>
    <w:p>
      <w:r>
        <w:t>IT: GE_GERICHTE DAS/264/2017 del 11 settembre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w:t>
      </w:r>
    </w:p>
    <w:p>
      <w:r>
        <w:t>- 9/12 -</w:t>
      </w:r>
    </w:p>
    <w:p>
      <w:r>
        <w:t>C/4376/2015-CS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2.2 Dans le cas d'espèce, il résulte de la procédure que le mineur E______ a dû être hospitalisé alors qu'il n'était âgé que de deux mois. Les investigations médicales ont mis en évidence des fractures à une clavicule, à un humérus et aux côtes, ainsi que des ecchymoses. La gravité de ces lésions ne saurait être occultée et à défaut d'une pathologie qui aurait permis de les expliquer, le Tribunal de police a retenu une maltraitance parentale, aucun tiers n'ayant été mis en cause; la procédure est actuellement pendante devant la Chambre pénale d'appel et de révision de la Cour de justice, suite à l'appel formé par les deux parents contre leur condamnation. La plus grande prudence doit par conséquent prévaloir avant d'envisager un élargissement du droit de visite des deux parents et le retour de l'enfant à leur domicile, quand bien même la recourante et son compagnon ont fait preuve de beaucoup d'investissement à son égard depuis son hospitalisation et son placement, qu'ils ont d'ailleurs accepté. L'attitude des deux parents est toutefois peu rassurante sur plusieurs points. Il est établi que tous deux sont des consommateurs réguliers de cannabis. Lors de l'audience qui s'est tenue le 4 juin 2015 devant le Tribunal de protection, ils se sont déclarés prêts à cesser leur consommation, engagement dont la décision rendue le même jour leur a donné acte. Depuis lors toutefois, les deux parties n'ont pas apporté la preuve de la mise en œuvre d'un traitement sérieux axé sur cette problématique, sous réserve du fait que la psychologue O______, qui suit la recourante depuis plusieurs années pour</w:t>
      </w:r>
    </w:p>
    <w:p>
      <w:r>
        <w:t>- 10/12 -</w:t>
      </w:r>
    </w:p>
    <w:p>
      <w:r>
        <w:t>C/4376/2015-CS ses problèmes de bipolarité, a déclaré récemment qu'elle s'engageait avec sa patiente à poursuivre une psychothérapie cognitivo-comportementale du traitement du trouble de l'usage du cannabis. Le recours formé par A______, objet de la présente procédure, contient par ailleurs des considérations sur le caractère "tolérable" de sa consommation et "les récentes décisions de légalisation sur le marché helvétique". Ce positionnement permet de considérer que ni la recourante, ni son compagnon n'ont en réalité l'intention de respecter l'engagement pris il y a désormais plus de deux ans de cesser leur consommation de cannabis, considérant apparemment que celle-ci ne saurait avoir aucun impact sur leur capacité à prendre en charge leur fils au quotidien. En l'état, le lien entre la consommation de cannabis par les deux parents et les lésions constatées sur leur enfant n'a certes pas pu être établi. Il n'en demeure pas moins qu'une consommation journalière peut difficilement être qualifiée de "faible" et de "tolérable" et s'accommode mal, quoiqu'en pense la recourante, avec le suivi vigilant d'un enfant en bas âge, lequel a déjà été victime de fractures dont la gravité ne peut pas être ignorée. S'ajoute à cela le fait que B______ n'a pas recouru contre la décision du Tribunal de protection du 3 août 2017 et que sa position n'est dès lors pas connue, ce qui permet de s'interroger sur le fonctionnement des deux parents, qui, en l'espèce, semblent s'être désolidarisés l'un de l'autre. Or, si le droit de visite devait être élargi en faveur de la recourante, il le serait de fait également pour B______, puisque les deux parents continuent, semble-t-il, de faire ménage commun. Au vu de ce qui précède, la Cour ne donnera pas une suite favorable aux conclusions prises par la recourante. Toutefois, les deux parents peuvent actuellement passer un jour par semaine seuls avec l'enfant de 9h00 à 18h00. Bien que la décision attaquée ne prévoie aucune limitation s'agissant du lieu où doit s'exercer le droit de visite ce jour-là, il semble ressortir de la procédure qu'il est actuellement convenu que les parents ne puissent pas emmener leur fils à leur domicile. Dans la mesure où il n'est pas certain qu'une telle limitation soit dans l'intérêt de l'enfant, lequel risque d'être "balloté" d'un lieu à un autre, il sera précisé que les parents sont autorisés à passer une journée par semaine seuls avec leur fils de 9h00 à 18h00 et à l'emmener à leur domicile. Pour le surplus, les chiffres 1 à 3 du dispositif de la décision attaquée seront confirmés.</w:t>
      </w:r>
    </w:p>
    <w:p>
      <w:r>
        <w:rPr>
          <w:b/>
        </w:rPr>
        <w:t>E. 3</w:t>
      </w:r>
    </w:p>
    <w:p>
      <w:r>
        <w:t>et 450b CC).</w:t>
      </w:r>
    </w:p>
    <w:p>
      <w:r>
        <w:rPr>
          <w:b/>
        </w:rPr>
        <w:t>E. 3.1</w:t>
      </w:r>
    </w:p>
    <w:p>
      <w:r>
        <w:t>Contrairement à ce que prétend la recourante, la procédure a porté sur l'élargissement du droit de visite des parents sur leur enfant et non sur une mesure de protection. Or, les procédures portant sur la fixation du droit de visite ne sont pas gratuites (art. 54 du Règlement fixant le tarif des frais en matière civile RTFMC). C'est dès lors à juste titre que le Tribunal de protection a arrêté les frais judiciaires à 400 fr. et qu'il les a mis à la charge des deux parents, à concurrence de la moitié chacun, la part incombant à la recourante étant provisoirement supportée par l'Etat de Genève, compte tenu de la mise au bénéfice de l'assistance judiciaire.</w:t>
      </w:r>
    </w:p>
    <w:p>
      <w:r>
        <w:t>- 11/12 -</w:t>
      </w:r>
    </w:p>
    <w:p>
      <w:r>
        <w:t>C/4376/2015-CS</w:t>
      </w:r>
    </w:p>
    <w:p>
      <w:r>
        <w:rPr>
          <w:b/>
        </w:rPr>
        <w:t>E. 3.2</w:t>
      </w:r>
    </w:p>
    <w:p>
      <w:r>
        <w:t>Les frais de recours seront également fixés à 400 fr. et mis à la charge de la recourante, qui succombe. Ils seront compensés avec l'avance de même montant versée par la recourante, qui reste acquise à l'Etat, étant relevé que l'extension du bénéfice de l'assistance judiciaire pour la procédure de recours lui a été refusée. * * * * *</w:t>
      </w:r>
    </w:p>
    <w:p>
      <w:r>
        <w:t>- 12/12 -</w:t>
      </w:r>
    </w:p>
    <w:p>
      <w:r>
        <w:t>C/4376/2015-CS PAR CES MOTIFS, La Chambre de surveillance : A la forme : Déclare recevable le recours formé le 11 septembre 2017 par A______ contre l'ordonnance DTAE/3788/2017 rendue le 3 août 2017 par le Tribunal de protection de l'adulte et de l'enfant dans la cause C/4376/2015-7. Au fond : Précise le chiffre 1 du dispositif de la décision attaquée en ce sens que A______ et B______ sont autorisés à emmener leur fils E______ à leur domicile pendant le jour par semaine qu'ils peuvent passer seuls avec lui de 9h00 à 18h00. Confirme pour le surplus l'ordonnance attaquée. Sur les frais : Arrête les frais judiciaires du recours à 400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