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DAS/262/2024 vom 18. Juli 2024</w:t>
      </w:r>
    </w:p>
    <w:p>
      <w:r>
        <w:t>GE Cour de justice, 2024-07-18, FR</w:t>
      </w:r>
    </w:p>
    <w:p>
      <w:r>
        <w:rPr>
          <w:b/>
        </w:rPr>
        <w:t xml:space="preserve">Quelle: </w:t>
      </w:r>
      <w:r>
        <w:t>https://mcp.opencaselaw.ch/entscheid/ge_gerichte_DAS_262_2024</w:t>
      </w:r>
    </w:p>
    <w:p>
      <w:r>
        <w:t>FR: GE_GERICHTE DAS/262/2024 du 18 juillet 2024</w:t>
      </w:r>
    </w:p>
    <w:p>
      <w:r>
        <w:t>IT: GE_GERICHTE DAS/262/2024 del 18 luglio 2024</w:t>
      </w:r>
    </w:p>
    <w:p>
      <w:pPr>
        <w:pStyle w:val="Heading2"/>
      </w:pPr>
      <w:r>
        <w:t>Erwägungen</w:t>
      </w:r>
    </w:p>
    <w:p>
      <w:r>
        <w:rPr>
          <w:b/>
        </w:rPr>
        <w:t>E. 1</w:t>
      </w:r>
    </w:p>
    <w:p>
      <w:r>
        <w:t>1.1.1 Les décisions du Tribunal de protection de l'adulte et de l'enfant sont susceptibles de recours à la Chambre de surveillance de la Cour de justice dans un délai de trente jours à compter de leur notification (art. 440 al. 3, 450b al. 1 et 450f CC; art. 153 al. 1 et 2 LaCC; art. 126 al. 3 LOJ). Le recours doit être dûment motivé et interjeté par écrit auprès du juge (art. 450 al. 3 CC). 1.1.2 Introduit dans le délai utile et selon la forme prescrite auprès de l'autorité compétente, par une personne habilitée à le déposer (art. 450 al. 2 ch. 1 CC), le recours est en l'espèce recevable.</w:t>
      </w:r>
    </w:p>
    <w:p>
      <w:r>
        <w:rPr>
          <w:b/>
        </w:rPr>
        <w:t>E. 1.2</w:t>
      </w:r>
    </w:p>
    <w:p>
      <w:r>
        <w:t>La Cour revoit la cause avec un plein pouvoir d'examen, les faits étant établis et le droit appliqué d'office (art. 446 al. 1 et 4 CC, applicable par renvoi de l'art. 314 al. 1 CC).</w:t>
      </w:r>
    </w:p>
    <w:p>
      <w:r>
        <w:rPr>
          <w:b/>
        </w:rPr>
        <w:t>E. 2</w:t>
      </w:r>
    </w:p>
    <w:p>
      <w:r>
        <w:t>La recourante soulève une violation de son droit d'être entendue, plus précisément de son droit à la preuve et à l'obtention d'une décision motivée. 2.1.1 La procédure applicable au Tribunal de protection est réglée par les art. 31 et suivants LaCC. Comme la Cour de céans a déjà eu l'occasion de le rappeler (not.: DAS/248/2023, DAS/143/2017 et, très récemment: DAS/252/2024), dans les procédures concernant les mineurs, le Tribunal de protection entend personnellement les père et mère de l'enfant. S'ils ne comparaissent pas, ils peuvent être amenés par la force publique (art. 38 let. b LaCC). Cette disposition correspond à l'ancien art. 36 al. 4 aLaCC, qui prévoyait l'audition obligatoire des père et mère par le Tribunal tutélaire dans les causes concernant les enfants. L'audition obligatoire des parents dans les procédures applicables aux enfants est également prévue par le Code de procédure civile fédérale (art. 297 al. 1 CPC). Elle l'était également sous le régime de la LPC, l'importance que le législateur avait attaché à cette audition s'exprimait par la possibilité de mise en œuvre de la force publique à l'égard des parents récalcitrants (BERTOSSA/GAILLARD/GUYET/ SCHMIDT, Commentaire de la LPC ad art. 368b n° 1 et ad art. 372 n° 1 et 2).</w:t>
      </w:r>
    </w:p>
    <w:p>
      <w:r>
        <w:t>- 5/7 -</w:t>
      </w:r>
    </w:p>
    <w:p>
      <w:r>
        <w:t>C/20049/2019-CS 2.1.2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l'autorité, le droit à une décision motivée est respecté même si la motivation présentée est erronée. La motivation peut d'ailleurs être implicite et résulter des différents considérants de la décision (ATF 141 V 557 consid. 3.2.1; 139 IV 179 consid. 2.2; 134 I 83 consid. 4.1 arrêt du Tribunal fédéral 5D_265/2017 du 15 juin 2018 consid. l 3.1). En revanche, si dans la motivation de la décision, il manque toute discussion sur des arguments importants d'une partie, elle viole le droit d'être entendu, indépendamment du bien-fondé, au fond, de l'argumentation qui n'a pas été prise en considération (arrêt du Tribunal fédéral 5A_790/2015 du 18 mai 2016 consid. 4.3 et 4.4). Malgré son caractère formel, la garantie du droit d'être entendu ne constitue pas une fin en soi. La violation de ce droit peut être réparée lorsque la partie lésée a la possibilité de s'exprimer devant une autorité de recours jouissant d'un plein pouvoir d'examen en fait et en droit (art. 310 CPC) ou lorsque le renvoi constituerait une vaine formalité et aboutirait à un allongement inutile de la procédure (ATF 137 I 195 consid. 2.2 et 2.3.2; arrêts du Tribunal fédéral 4A_453/2016 du 16 février 2017 consid. 4.2.4; 5A_925/2015 du 4 mars 2016 consid. 2.3.3.2 n.p. in ATF 142 III 195). 2.1.3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1er juillet 2019 consid. 2.1.1.1).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sa position (ATF 138 III 374 consid. 4.3.2, p. 376 et autres arrêts cités par le Tribunal fédéral dans son arrêt 5A_621/2014 du 11 novembre 2014, consid. 5.5 rendu dans la même cause).</w:t>
      </w:r>
    </w:p>
    <w:p>
      <w:r>
        <w:rPr>
          <w:b/>
        </w:rPr>
        <w:t>E. 2.2</w:t>
      </w:r>
    </w:p>
    <w:p>
      <w:r>
        <w:t>Dans le cas d'espèce, le Tribunal de protection a statué au fond sur les relations personnelles entre les mineurs et leur mère par apposition de son timbre humide sur un rapport du SPMi du 28 mai 2024, sans audition préalable des parents, en particulier de la recourante. Cette dernière s'est certes déterminée par</w:t>
      </w:r>
    </w:p>
    <w:p>
      <w:r>
        <w:t>- 6/7 -</w:t>
      </w:r>
    </w:p>
    <w:p>
      <w:r>
        <w:t>C/20049/2019-CS écrit. Il n'en demeure pas moins que l'audition des parents par le juge n'a pas pour seule vocation de respecter le droit des parties à être entendues, mais constitue également un moyen pour le juge d'établir les faits. Ainsi, en se dispensant d'auditionner les parents, le Tribunal de protection a violé la loi et la jurisprudence constante de la Cour de céans, telles que rappelées ci-dessus. Au demeurant, en faisant siens les motifs exposés dans le préavis du SPMi du 28 mai 2024, le Tribunal de protection n'a pas pris position sur les déterminations et les offres de preuve présentées par la recourante dans son acte du 14 juin 2024, violant ainsi son droit d'être entendue. Dès lors que le premier motif exposé ci- dessus conduit déjà à l'annulation de la décision attaquée, la question de savoir si cette violation pourrait être réparée par la Chambre de céans peut demeurer indécise. Par conséquent, au regard des développements qui précèdent, la décision attaquée doit être annulée sans qu'il soit besoin d'aborder le fond et la cause retournée au Tribunal de protection pour suite d’instruction et nouvelle décision.</w:t>
      </w:r>
    </w:p>
    <w:p>
      <w:r>
        <w:rPr>
          <w:b/>
        </w:rPr>
        <w:t>E. 3</w:t>
      </w:r>
    </w:p>
    <w:p>
      <w:r>
        <w:t>Les causes en fixation de relations personnelles ne sont pas gratuites (art. 67A et B RTFMC et 77 LaCC). Compte tenu de l’issue de la procédure de recours, les frais judiciaires, arrêtés à 400 fr., seront laissés à la charge de l’Etat. * * * * *</w:t>
      </w:r>
    </w:p>
    <w:p>
      <w:r>
        <w:t>- 7/7 -</w:t>
      </w:r>
    </w:p>
    <w:p>
      <w:r>
        <w:t>C/20049/2019-CS PAR CES MOTIFS, La Chambre de surveillance :</w:t>
      </w:r>
    </w:p>
    <w:p>
      <w:r>
        <w:t>A la forme : Déclare recevable le recours formé le 18 juillet 2024 par A______ contre la décision DTAE/4550/2024 rendue le 20 juin 2024 par le Tribunal de protection de l'adulte et de l'enfant dans la cause C/20049/2019. Au fond : L'admet et annule la décision attaquée. Cela fait: Retourne la cause au Tribunal de protection de l’adulte et de l’enfant pour suite d’instruction dans le sens des considérants et nouvelle décision. Laisse les frais à la charge de l’Etat. Siégeant : Monsieur Cédric-Laurent MICHEL, président; Mesdames Paola CAMPOMAGNANI et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