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DAS/262/2016 vom 19. August 2016</w:t>
      </w:r>
    </w:p>
    <w:p>
      <w:r>
        <w:t>GE Cour de justice, 2016-08-19, FR</w:t>
      </w:r>
    </w:p>
    <w:p>
      <w:r>
        <w:rPr>
          <w:b/>
        </w:rPr>
        <w:t xml:space="preserve">Quelle: </w:t>
      </w:r>
      <w:r>
        <w:t>https://mcp.opencaselaw.ch/entscheid/ge_gerichte_DAS_262_2016</w:t>
      </w:r>
    </w:p>
    <w:p>
      <w:r>
        <w:t>FR: GE_GERICHTE DAS/262/2016 du 19 août 2016</w:t>
      </w:r>
    </w:p>
    <w:p>
      <w:r>
        <w:t>IT: GE_GERICHTE DAS/262/2016 del 19 agosto 2016</w:t>
      </w:r>
    </w:p>
    <w:p>
      <w:pPr>
        <w:pStyle w:val="Heading2"/>
      </w:pPr>
      <w:r>
        <w:t>Erwägungen</w:t>
      </w:r>
    </w:p>
    <w:p>
      <w:r>
        <w:rPr>
          <w:b/>
        </w:rPr>
        <w:t>E. 1</w:t>
      </w:r>
    </w:p>
    <w:p>
      <w:r>
        <w:t>1.1.1 Les dispositions de la procédure devant l'autorité de protection de l'adulte sont applicables par analogie pour les mesures de protection de l'enfant (art. 314 al. 1 CC).</w:t>
      </w:r>
    </w:p>
    <w:p>
      <w:r>
        <w:t>- 7/12 -</w:t>
      </w:r>
    </w:p>
    <w:p>
      <w:r>
        <w:t>C/684/2016-CS Les décisions de l'autorité de protection peuvent faire l'objet d'un recours (art. 450 al. 1 CC) dans les trente jours à compter de la notification de la décision (art. 450b al. 1 CC), auprès de la Chambre de surveillance de la Cour de justice (art. 53 al. 1 LaCC). 1.1.2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 1.2.1 Le recours contre la décision DTAE/1089/2016 du 29 février 2016 a été formé le 26 avril 2016. La question de la recevabilité de ce recours peut demeurer indécise, dans la mesure où il n'existe plus d'intérêt à recourir contre cette décision, laquelle n'est plus d'actualité. En effet, la décision du 29 février 2016, qui fixait le droit de visite du recourant à raison de deux heures par jour tant et aussi longtemps que E______ se trouvait aux HUG ou en foyer, a été remplacée tout d'abord par la décision du 6 mai 2016 sur mesures superprovisionnelles, puis par celle du 15 juillet 2016, cette dernière faisant également l'objet de la présente procédure. Le recourant n'a par conséquent plus aucun intérêt à obtenir la modification d'un droit de visite qui se rapporte à une situation désormais révolue, l'enfant ne se trouvant plus ni à l'hôpital, ni en foyer, mais en famille d'accueil. Il découle de ce qui précède que le recours formé le 26 avril 2016 sera déclaré sans objet. 1.2.2 Le recours du 19 août 2016 contre la décision du 15 juillet 2016 a été formé dans les formes et le délai utile; il est dès lors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sollicite l'octroi d'un droit de visite plus large que celui qui lui a été réservé et pouvant s'exercer hors milieu protégé. 2.1.1 Le père ou la mère qui ne détient pas l'autorité parentale ou la garde ainsi que l'enfant mineur ont réciproquement le droit d'entretenir les relations personnelles indiquées par les circonstances (art. 273 al. 1 CC).</w:t>
      </w:r>
    </w:p>
    <w:p>
      <w:r>
        <w:t>- 8/12 -</w:t>
      </w:r>
    </w:p>
    <w:p>
      <w:r>
        <w:t>C/684/2016-CS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w:t>
      </w:r>
    </w:p>
    <w:p>
      <w:r>
        <w:t>- 9/12 -</w:t>
      </w:r>
    </w:p>
    <w:p>
      <w:r>
        <w:t>C/684/2016-CS Le juge dispose d'un large pouvoir d'appréciation dans la fixation du droit de visite (ATF 122 III 404 consid. 3d = JdT 1998 I 46).</w:t>
      </w:r>
    </w:p>
    <w:p>
      <w:r>
        <w:rPr>
          <w:b/>
        </w:rPr>
        <w:t>E. 2.2</w:t>
      </w:r>
    </w:p>
    <w:p>
      <w:r>
        <w:t>Dans le cas d'espèce, il résulte de la procédure que depuis le prononcé de la clause péril et le placement de l'enfant, le recourant s'est montré assidu dans l'exercice de son droit de visite et adéquat avec sa fille, sinon avec les intervenants sociaux. Il résulte en outre des dernières observations du Service de protection des mineurs que les relations entre le recourant et les professionnels qui s'occupent de E______ se sont améliorées, ce qui atteste du fait qu'il est désireux de fournir les efforts nécessaires au bon déroulement du droit de visite. Sa régularité, en dépit de la distance entre H______ et Genève et son changement positif d'attitude, démontrent son attachement à son enfant. Le Service de protection des mineurs, selon lequel il ne se justifie plus que le droit de visite s'exerce au sein du Point rencontre, préconise un élargissement progressif, avec des visites de deux heures par semaine à l'extérieur, le passage de l'enfant devant toutefois avoir lieu par l'entremise du Point rencontre. Il convient toutefois de ne pas perdre de vue le fait que le droit de visite doit être exercé dans l'intérêt de l'enfant. Or, E______ aura une année le 22 novembre 2016 et le recourant ne dispose d'aucun logement à Genève, ni d'endroit où exercer son droit de visite à l'abri du froid et de la pluie, dans lequel pouvoir proposer des activités ludiques et d'éveil à sa fille. Il n'est pas question qu'il emmène l'enfant chez D______, à laquelle la garde a été retirée et qui ne peut exercer son droit de visite qu'en milieu protégé, ni chez des tiers. Compte tenu de l'arrivée de l'hiver, il n'est pas envisageable que le recourant exerce son droit de visite à l'extérieur ou dans un établissement public ou encore dans un centre commercial, lieux bruyants et inadaptés à un enfant en bas âge. Le recourant, qui a conclu à l'octroi d'un droit de visite d'une journée par semaine, n'indique pas comment et où il a l'intention de voir sa fille et ne paraît pas être conscient du fait que son absence de lieu d'hébergement à Genève rend problématique l'exercice de relations personnelles prolongées et autonomes. Il ne saurait par conséquent être question de fixer un droit de visite d'une journée entière par semaine. La Chambre de surveillance est toutefois disposée à élargir le droit de visite du recourant conformément au préavis exprimé par le Service de protection des mineurs, à la condition que A______ se rende avec sa fille dans un lieu d'accueil parents-enfants, tel I______ à ______, soit un espace de jeu et d'échange où il pourra entreprendre des activités adaptées à l'âge de E______ et ce jusqu'au 30 avril 2017, date à laquelle il conviendra de revoir les modalités des relations personnelles. Il appartiendra au curateur chargé de l'organisation et de la surveillance desdites relations personnelles de veiller à ce que le recourant respecte les termes de la présente décision et d'informer le Tribunal de protection</w:t>
      </w:r>
    </w:p>
    <w:p>
      <w:r>
        <w:t>- 10/12 -</w:t>
      </w:r>
    </w:p>
    <w:p>
      <w:r>
        <w:t>C/684/2016-CS des mineurs dans l'hypothèse où tel ne serait pas le cas. Le curateur sera en outre invité, à la fin du mois d'avril 2017, à préaviser le maintien ou la modification des modalités ainsi fixées.</w:t>
      </w:r>
    </w:p>
    <w:p>
      <w:r>
        <w:rPr>
          <w:b/>
        </w:rPr>
        <w:t>E. 3</w:t>
      </w:r>
    </w:p>
    <w:p>
      <w:r>
        <w:t>La procédure, qui porte sur la fixation des relations personnelles, n'est pas gratuite (art. 19, 22 et 77 LaCC; 54 Règlement fixant le tarif des frais en matière civile – RTFMC). En l'espèce, les frais de la procédure des deux recours, y compris ceux des publications dans la Feuille d'avis officielle, seront arrêtés à 400 fr. Compte tenu de l'issue de la procédure, ils seront mis pour moitié à la charge de l'Etat et pour moitié à la charge du recourant, lequel n'a pas obtenu entièrement gain de cause. Dans la mesure toutefois où ce dernier a été mis au bénéfice de l'assistance judiciaire, la part de frais lui incombant sera provisoirement supportée par l'Etat. * * * * *</w:t>
      </w:r>
    </w:p>
    <w:p>
      <w:r>
        <w:t>- 11/12 -</w:t>
      </w:r>
    </w:p>
    <w:p>
      <w:r>
        <w:t>C/684/2016-CS PAR CES MOTIFS, La Chambre de surveillance : A la forme : Constate que le recours formé le 26 avril 2016 par A______ contre l'ordonnance DTAE/1089/2016 du 29 février 2016 rendue par le Tribunal de protection de l'adulte et de l'enfant dans la cause C/684/2016-7 est devenu sans objet. Déclare recevable le recours formé le 19 août 2016 par A______ contre la décision DTAE/3633/2016 du 15 juillet 2016 rendue par le Tribunal de protection de l'adulte et de l'enfant dans la cause C/684/2016-7. Au fond : L'admet partiellement et annule la décision DTAE/3633/2016 du 15 juillet 2016 en tant qu'elle a autorisé les visites entre E______ et son père à raison de deux heures par quinzaine ou d'une heure par semaine, au sein du Point rencontre. Cela fait et statuant à nouveau sur ce point : Réserve à A______ un droit de visite sur sa fille E______, lequel s'exercera, jusqu'au 30 avril 2017, à raison de deux heures par semaine, hors Point rencontre, mais au sein d'une structure d'accueil parents-enfants, le passage de l'enfant devant s'opérer par l'entremise du Point rencontre. Invite le curateur d'organisation et de surveillance du droit de visite à s'assurer du respect des modalités fixées ci-dessus et à informer sans délai le Tribunal de protection de l'adulte et de l'enfant en cas de non-respect de celles-ci. Invite le curateur à préaviser le maintien ou la modification des modalités du droit de visite de A______ telles que fixées ci-dessus, au plus tard au 30 avril 2017. Confirme pour le surplus la décision attaquée. Sur les frais : Arrête les frais de la procédure de recours, y compris ceux des publications dans la Feuille d'avis officielle, à 400 fr.</w:t>
      </w:r>
    </w:p>
    <w:p>
      <w:r>
        <w:t>- 12/12 -</w:t>
      </w:r>
    </w:p>
    <w:p>
      <w:r>
        <w:t>C/684/2016-CS Les met pour moitié à la charge de l'Etat de Genève et pour moitié à la charge de A______. Dit que la part incombant à A______ sera provisoirement laissée à la charge de l'Etat de Genève, compte tenu du bénéfice de l'assistance judiciaire. Siégeant : Monsieur Cédric-Laurent MICHEL, président; Madame Paola CAMPOMAGNANI et Madame Ursula ZEHETBAUER 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