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DAS/25/2017 vom 18. November 2016</w:t>
      </w:r>
    </w:p>
    <w:p>
      <w:r>
        <w:t>GE Cour de justice, 2016-11-18, FR</w:t>
      </w:r>
    </w:p>
    <w:p>
      <w:r>
        <w:rPr>
          <w:b/>
        </w:rPr>
        <w:t xml:space="preserve">Quelle: </w:t>
      </w:r>
      <w:r>
        <w:t>https://mcp.opencaselaw.ch/entscheid/ge_gerichte_DAS_25_2017</w:t>
      </w:r>
    </w:p>
    <w:p>
      <w:r>
        <w:t>FR: GE_GERICHTE DAS/25/2017 du 18 novembre 2016</w:t>
      </w:r>
    </w:p>
    <w:p>
      <w:r>
        <w:t>IT: GE_GERICHTE DAS/25/2017 del 18 novembre 2016</w:t>
      </w:r>
    </w:p>
    <w:p>
      <w:pPr>
        <w:pStyle w:val="Heading2"/>
      </w:pPr>
      <w:r>
        <w:t>Erwägungen</w:t>
      </w:r>
    </w:p>
    <w:p>
      <w:r>
        <w:rPr>
          <w:b/>
        </w:rPr>
        <w:t>E. 1.1</w:t>
      </w:r>
    </w:p>
    <w:p>
      <w:r>
        <w:t>Les décisions de l'autorité de protection de l'adulte et de l'enfant peuvent faire l'objet d'un recours devant le juge compétent, soit à Genève, la Chambre de surveillance de la Cour de justice (art. 450 al. 1 CC; art. 53 al. 1 LaCC; art. 126 al. 1 let. b LOJ). Le délai de recours est de trente jours à compter de la notification de la décision (art. 450b al. 1 CC). En l'espèce, le recours formé en temps utile par la mère des enfants concernés est recevable.</w:t>
      </w:r>
    </w:p>
    <w:p>
      <w:r>
        <w:t>- 12/16 -</w:t>
      </w:r>
    </w:p>
    <w:p>
      <w:r>
        <w:t>C/5375/2009-CS</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2.1.1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w:t>
      </w:r>
    </w:p>
    <w:p>
      <w:r>
        <w:t>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5C.58/2004; Kantonsgericht SG in RDT 2000 p. 204; Parisima VEZ, Le droit de visite, problèmes récurrents, in Enfant et divorce, 2006 p. 122 et réf. citées; MEIER/STETTLER, Droit de la filiation, Tome II, 3ème éd. 2006, p. 148/149 nos 270/272 et réf. citées, p. 157 no 283 et réf. citées).</w:t>
      </w:r>
    </w:p>
    <w:p>
      <w:r>
        <w:t>- 13/16 -</w:t>
      </w:r>
    </w:p>
    <w:p>
      <w:r>
        <w:t>C/5375/2009-CS Le juge dispose d'un large pouvoir d'appréciation dans la fixation du droit de visite (ATF 122 III 404 consid. 3d = JdT 1998 I 46).</w:t>
      </w:r>
    </w:p>
    <w:p>
      <w:r>
        <w:rPr>
          <w:b/>
        </w:rPr>
        <w:t>E. 2.2</w:t>
      </w:r>
    </w:p>
    <w:p>
      <w:r>
        <w:t>La Chambre de surveillance a déjà eu l'occasion de se prononcer sur la question de la reprise des relations personnelles entre B______ et ses enfants, dans sa décision DAS/2______ du 20 janvier 2016, qui faisait suite à un recours formé contre une décision rendue sur mesures provisionnelles par le Tribunal de protection le 30 juillet 2015. Dans sa décision du 20 janvier 2016, la Chambre de surveillance avait relevé que l'organisation des relations personnelles entre B______ et ses enfants était, depuis plusieurs années, une source de conflits importants entre lui-même et son ancienne compagne et avait nécessité, en raison de la personnalité et des troubles présentés par les parties, plusieurs expertises. Des soupçons de comportements inadaptés à connotation sexuelle de la part du père était rapidement apparus, sans avoir pu être objectivés ni par les expertises effectuées à la demande du Tribunal de protection, ni par la procédure pénale diligentée par le Ministère public. Si le droit de visite avait pu être exercé sans problèmes majeurs en milieu protégé jusqu'au mois de mai 2015, tel n'était plus le cas depuis lors, en raison des déclarations faites par G______ à sa mère, puis répétées au Service de protection des mineurs et à d'autres intervenants, auxquelles s'étaient ajoutées des déclarations et des dessins de F______. Les deux enfants manifestaient depuis lors une franche opposition à revoir leur père. La Chambre de surveillance avait considéré qu'il convenait, avant d'ordonner purement et simplement la reprise du droit de visite, de s'assurer que le fait d'entretenir des relations personnelles avec leur père était conforme à l'intérêt des enfants et ne risquait pas, au vu du contexte, de créer un traumatisme ou d'accentuer les troubles dont les enfants souffraient déjà. La Chambre de surveillance avait également mentionné le fait qu'il convenait de déterminer dans quelle mesure les enfants pouvaient être instrumentalisés ou influencés par leur mère. La décision rendue sur mesures provisionnelles, par laquelle la reprise des relations personnelles avait été ordonnée, avait par conséquent été annulée et la cause retournée au Tribunal de protection pour nouvelle décision après complément d'instruction, lequel complément devait en outre comporter l'audition du Dr H______. Or, il résulte de la procédure qu'après son renvoi, le Tribunal de protection s'est contenté d'entendre le Dr H______, de donner aux divers intervenants l'occasion de s'exprimer par écrit, puis a rendu une nouvelle décision, non sur mesures provisionnelles mais au fond cette fois, sans tenter de déterminer, contrairement à l'avis exprimé par la Chambre de surveillance dans sa décision du 20 janvier 2016, si l'exercice d'un droit de visite était conforme à l'intérêt des enfants, s'il ne risquait pas de créer ou de raviver un traumatisme et si les enfants pouvaient le cas échéant être influencés ou manipulés par leur mère. Ce faisant, le Tribunal de protection n'a pas respecté la décision de renvoi du 20 janvier 2016, alors qu'aucun élément nouveau ne justifiait qu'il s'en écarte. En effet, la situation n'a</w:t>
      </w:r>
    </w:p>
    <w:p>
      <w:r>
        <w:t>- 14/16 -</w:t>
      </w:r>
    </w:p>
    <w:p>
      <w:r>
        <w:t>C/5375/2009-CS pas évolué favorablement depuis le retour du dossier en première instance. Les enfants, qui ont été suivis de manière régulière par les Drs H______, I______ et désormais K______, ont en effet été constants dans leur refus de renouer une relation avec leur père et les professionnels ont unanimement soutenu qu'en l'état, la reprise d'un droit de visite, même au sein d'un Point rencontre, ne paraissait pas être dans l'intérêt des enfants. Le Dr K______ a par ailleurs précisé que la thérapie entreprise avec G______ et F______ ne pouvait avoir pour but, contrairement à ce que le Tribunal de protection a retenu sous chiffre 2 du dispositif de la décision attaquée, de les préparer à revoir leur père. Compte tenu de ces éléments, il se justifie d'annuler les chiffres 1, 2 et 3 du dispositif de la décision attaquée et de renvoyer une nouvelle fois la cause en première instance pour instruction complémentaire dans le sens des considérants et nouvelle décision. Il appartiendra également à l'expert qui sera mis en œuvre de faire toutes suggestions utiles au sujet d'une éventuelle reprise du droit de visite et des modalités à prévoir. Le chiffre 5 du dispositif de la décision attaquée, qui a maintenu la curatelle de surveillance et d'organisation des relations personnelles sera également annulé. Il est en effet inutile de maintenir une telle curatelle alors que les relations personnelles entre le père et les deux enfants sont interrompues pour l'instant.</w:t>
      </w:r>
    </w:p>
    <w:p>
      <w:r>
        <w:rPr>
          <w:b/>
        </w:rPr>
        <w:t>E. 3</w:t>
      </w:r>
    </w:p>
    <w:p>
      <w:r>
        <w:t>3.1 Lorsque les circonstances l'exigent, l'autorité de protection de l'enfant nomme un curateur qui assiste les père et mère de ses conseils et de son appui dans la prise en charge de l'enfant (art. 308 al. 1 CC). La curatelle éducative pourra notamment prendre tout son sens lorsque les titulaires de l'autorité parentale sont (momentanément) dépassés par la prise en charge d'un enfant, en raison de difficultés personnelles (maladie, dépression, handicap) ou de problèmes médicaux et/ou éducatifs de l'enfant lui-même. A la différence du droit de regard et d'information de l'art. 307 al. 3 CC, la curatelle éducative comprend une composante contraignante : tous les intéressés (en particulier les père et mère ainsi que l'enfant) ont l'obligation de coopérer avec le curateur, de lui donner les informations demandées et de se positionner par rapport aux propositions faites (Commentaire romand, CC I, MEIER, ad art. 308 n. 7 et 9).</w:t>
      </w:r>
    </w:p>
    <w:p>
      <w:r>
        <w:rPr>
          <w:b/>
        </w:rPr>
        <w:t>E. 3.2</w:t>
      </w:r>
    </w:p>
    <w:p>
      <w:r>
        <w:t>Dans le cas d'espèce, la curatelle éducative a été ordonnée au motif que la mère peinerait à entreprendre de son propre chef "les démarches qui lui permettraient d'apporter aux enfants un environnement adapté". Or, cette constatation est contraire aux observations du Service de protection des mineurs, selon lesquelles A______ a toujours collaboré avec ce service, est à l'écoute de ses suggestions et le tient informé des changements pouvant survenir dans la vie de ses enfants. Il ressort en outre du dossier que la mère a organisé la prise en charge des enfants, lesquels ont des rendez-vous réguliers avec des thérapeutes, quand bien même plusieurs médecins se sont succédé dans le temps. En l'état, le Dr K______ a débuté une prise en charge de G______ et de F______ au</w:t>
      </w:r>
    </w:p>
    <w:p>
      <w:r>
        <w:t>- 15/16 -</w:t>
      </w:r>
    </w:p>
    <w:p>
      <w:r>
        <w:t>C/5375/2009-CS printemps dernier et il ne se justifie pas de remettre en cause ce suivi. Il ressort en outre du dossier que la mère a contacté un thérapeute pour son propre suivi, contrairement à B______, qui ne semble avoir entrepris aucune démarche personnelle dans ce sens. Or, il est douteux qu'une curatelle d'assistance éducative, dont ce n'est pas le but, puisse induire B______ à se faire suivre, alors qu'il n'en éprouve ni l'envie, ni le besoin. Au vu de ce qui précède, le chiffre 4 de la décision attaquée sera également annulé.</w:t>
      </w:r>
    </w:p>
    <w:p>
      <w:r>
        <w:rPr>
          <w:b/>
        </w:rPr>
        <w:t>E. 3.3</w:t>
      </w:r>
    </w:p>
    <w:p>
      <w:r>
        <w:t>Il se justifie en revanche de confirmer les chiffres 6, 7 et 8 du dispositif de l'ordonnance querellée, lesquels n'ont pas été contestés et font instruction aux deux parents de reprendre un travail de guidance parentale et de poursuivre ou d'entreprendre un suivi thérapeutique individuel. Au vu des troubles dont souffrent les deux parties et de leurs difficultés à communiquer et à prendre en charge leurs enfants de manière concertée, les mesures ordonnées sont nécessaires et adéquates.</w:t>
      </w:r>
    </w:p>
    <w:p>
      <w:r>
        <w:rPr>
          <w:b/>
        </w:rPr>
        <w:t>E. 4.1</w:t>
      </w:r>
    </w:p>
    <w:p>
      <w:r>
        <w:t>Au vu de l'issue de la procédure de recours, le chiffre 10 du dispositif de la décision attaquée sera également annulé, les frais de première instance devant être à nouveau arrêtés et répartis dans le cadre de la nouvelle décision qui sera rendue après le complément d'instruction requis.</w:t>
      </w:r>
    </w:p>
    <w:p>
      <w:r>
        <w:rPr>
          <w:b/>
        </w:rPr>
        <w:t>E. 4.2</w:t>
      </w:r>
    </w:p>
    <w:p>
      <w:r>
        <w:t>Les frais de la procédure de recours, qui porte essentiellement sur les relations personnelles, seront arrêtés à 400 fr. et laissés à la charge de l'Etat. Il ne sera pas alloués de dépens (art. 107 al. 1 let. c CPC). * * * * *</w:t>
      </w:r>
    </w:p>
    <w:p>
      <w:r>
        <w:t>- 16/16 -</w:t>
      </w:r>
    </w:p>
    <w:p>
      <w:r>
        <w:t>C/5375/2009-CS PAR CES MOTIFS, La Chambre de surveillance : A la forme : Déclare recevable le recours formé le 18 novembre 2016 par A______ contre l'ordonnance DTAE/4892/2016 rendue le 28 juillet 2016 par le Tribunal de protection de l'adulte et de l'enfant dans la cause C/5375/2009-6. Au fond : L'admet, annule les chiffres 1, 2, 3, 4, 5 et 10 du dispositif de l'ordonnance querellée et renvoie la cause au Tribunal de protection de l'adulte et de l'enfant pour complément d'instruction dans le sens des considérants et nouvelle décision. Confirme pour le surplus l'ordonnance attaquée. Sur les frais : Arrête les frais de la procédure de recours à 400 fr. et les laisse à la charge de l'Etat de Genève. Dit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