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DAS/258/2024 vom 30. Juni 2022</w:t>
      </w:r>
    </w:p>
    <w:p>
      <w:r>
        <w:t>GE Cour de justice, 2022-06-30, FR</w:t>
      </w:r>
    </w:p>
    <w:p>
      <w:r>
        <w:rPr>
          <w:b/>
        </w:rPr>
        <w:t xml:space="preserve">Quelle: </w:t>
      </w:r>
      <w:r>
        <w:t>https://mcp.opencaselaw.ch/entscheid/ge_gerichte_DAS_258_2024</w:t>
      </w:r>
    </w:p>
    <w:p>
      <w:r>
        <w:t>FR: GE_GERICHTE DAS/258/2024 du 30 juin 2022</w:t>
      </w:r>
    </w:p>
    <w:p>
      <w:r>
        <w:t>IT: GE_GERICHTE DAS/258/2024 del 30 giugno 2022</w:t>
      </w:r>
    </w:p>
    <w:p>
      <w:pPr>
        <w:pStyle w:val="Heading2"/>
      </w:pPr>
      <w:r>
        <w:t>Erwägungen</w:t>
      </w:r>
    </w:p>
    <w:p>
      <w:r>
        <w:rPr>
          <w:b/>
        </w:rPr>
        <w:t>E. 1</w:t>
      </w:r>
    </w:p>
    <w:p>
      <w:r>
        <w:t>1.1 Les décisions de l'autorité de protection peuvent faire l'objet d'un recours auprès de la Chambre de surveillance de la Cour de justice (art. 450 al. 1 CC; art. 53 al. 1 LaCC; art. 126 let. b LOJ). Ont qualité pour recourir les personnes parties à la procédure (art. 450 al. 2 ch. 1 CC). Le délai de recours est de trente jours à compter de la notification de la décision (art. 450b al. 1 CC; art. 53 al. 2 LaCC). En l'espèce, le recours a été formé par la personne concernée par la mesure de curatelle instaurée en sa faveur, dans le délai prescrit. Il est en conséquence recevable, de même que l'est le complément de recours déposé dans le délai légal.</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D’emblée il sera relevé que la Chambre de surveillance ne statue que sur les points du dispositif qui sont remis en cause, de sorte qu'elle n'est pas compétente pour connaître de questions qui ne font pas l'objet de la décision contestée. Ainsi, les griefs formés à l’encontre de la mesure de curatelle instituée, du temps nécessaire au changement de curateur ou de la question (apparemment sans objet) de la non mise à disposition de son argent de poche par la curatrice actuelle, sont exhorbitants au présent recours. De même, la Chambre de surveillance ne donnera aucune instruction à la curatrice de remettre à sa protégée les documents comptables et financiers qui sont en sa possession, ce point ne faisant pas l'objet de la décision attaquée. La curatrice ayant par ailleurs précisé que les documents sollicités par sa protégée</w:t>
      </w:r>
    </w:p>
    <w:p>
      <w:r>
        <w:t>- 6/9 -</w:t>
      </w:r>
    </w:p>
    <w:p>
      <w:r>
        <w:t>C/9870/2022-CS lui étaient remis sur simple demande, cette conclusion apparaît également sans objet et, quoi qu'il en soit, n'est pas utile à la résolution du recours.</w:t>
      </w:r>
    </w:p>
    <w:p>
      <w:r>
        <w:rPr>
          <w:b/>
        </w:rPr>
        <w:t>E. 2</w:t>
      </w:r>
    </w:p>
    <w:p>
      <w:r>
        <w:t>2.1.1 Au terme de ses fonctions, le curateur adresse à l'autorité de protection un rapport final et, le cas échéant, les comptes finaux (art. 425 al. 1er 1ère phr. CC). L'autorité de protection de l'adulte examine et approuve le rapport final et les comptes finaux de la même façon que les rapports et les comptes périodiques (art. 425 al. 2 CC). Elle examine les rapports du curateur et exige au besoin des compléments (art. 415 al. 2 CC). Elle approuve ou refuse les comptes; au besoin, elle exige des rectifications (art. 415 al. 1 CC). L'autorité de protection adresse le rapport et les comptes finaux à la personne concernée ou à ses héritiers et, le cas échéant, au nouveau curateur; elle rend ces personnes attentives aux dispositions sur la responsabilité. Elle leur communique en outre la décision qui libère le curateur de ses fonctions ou celle qui refuse l'approbation du rapport final ou des comptes finaux (art. 425 al. 3 et 4 CC). 2.1.2 Le rapport final a un but d'information et non de contrôle de l'exécution de la curatelle. Il doit être approuvé s'il remplit son devoir d'information (arrêts du Tribunal fédéral 5A_714/2014 du 2 décembre 2014 consid. 4.3; 5A_151/2014 du 4 avril 2014 consid. 6.1; concernant les art. 451 ss aCC: arrêts 5A_665/2013 du 23 juin 2014 consid. 4.2.3; 5A_578/2008 du 1 er octobre 2008 consid. 1). Un rapport rédigé par un mandataire est un compte rendu subjectif des circonstances: son approbation n'implique pas d'examiner la véracité des éléments contenus dans le rapport. L'approbation d'un rapport final n'emporte pas l'acceptation des déclarations et de l'activité du curateur (VOGEL/AFFOLTER, Zivilgesetzbuch I - Basler Kommentar (2018), n. 22 ad art. 425). Elle n'a pas d'effet de droit matériel direct, n'a pas valeur de décharge complète du curateur, et n'est pas une décision portant sur l'existence ou l'absence d'une prétention à l'encontre du curateur, qui est du ressort du juge civil (5A_494/2013 consid. 2.1). Elle n'exclut en particulier pas l'exercice de l'action en responsabilité à l'encontre du curateur, qui est de la compétence exclusive du juge (arrêts 5A714/2014 précité consid. 4.3; 5A_151/2014 consid. 6.1 et les références; 5A_587/2012 du 23 novembre 2012 consid. 3.2.1; ATF 70 II 77 consid. 1; 5A_274/2018 du 21 septembre 2018 consid. 4.3.1). 2.1.3 Dans les comptes finaux, le curateur tire un bilan de sa gestion du patrimoine et de sa représentation dans le cadre de cette gestion. Il rend compte de l'état de la fortune en vue de la transmission du patrimoine à la personne qui n'a plus besoin de protection, aux héritiers ou au nouveau mandataire (ROSCH, in ComFam Protection de l'adulte, 2013, n. 13 ad art. 425). Ils comprennent les comptes pour la période courant depuis le dernier contrôle, ainsi qu'un inventaire</w:t>
      </w:r>
    </w:p>
    <w:p>
      <w:r>
        <w:t>- 7/9 -</w:t>
      </w:r>
    </w:p>
    <w:p>
      <w:r>
        <w:t>C/9870/2022-CS des biens gérés par le curateur. Ils renseignent la personne protégée, ses héritiers, l'autorité de protection, le curateur reprenant le mandat sur la situation patrimoniale de la personne protégée (VOGEL/AFFOLTER, op. cit., n. 40 ad art. 425). Concernant les comptes, l’autorité effectue le même contrôle que celui qui prévaut pour les comptes périodiques. L’autorité doit notamment s’assurer que tous les justificatifs des dépenses ont été produits, que les transactions effectuées répondent aux besoins de la personne sous curatelle, que le curateur a requis le consentement de l’autorité lorsque cela était nécessaire ou encore qu’il a fait valoir d’éventuels droits de la personne concernée à des prestations d’assurance (FOUTOULAKIS, Commentaire CR-CC, ad art. 425 CC n. 31). L'autorité chargée de l'approbation du rapport et des comptes finaux n'a pas à se prononcer sur d'éventuels manquements du curateur (arrêts du Tribunal fédéral 5A_714/2014 du 2 décembre 2014 consid. 4.3; 5A_587/2012 du 23 novembre 2012 consid. 3.2.1). Les comptes finaux sont dépourvus d’effet matériel pour les tiers qui ne pourront notamment par exemple pas faire valoir l’extinction d’une créance que le curateur aurait omis de porter aux comptes (FOUTAKOULIS, op. cit., ad art. 425 CC n. 36). 2.1.4 Dans le cadre d'un recours formé au sens de l'art. 450 CC contre une décision de l'autorité de protection approuvant les rapport et comptes finaux d'un curateur, la personne protégée, ses héritiers, le curateur terminant son mandat ou le nouveau curateur dans le cadre d'un recours au sens de l'art. 450 CC ne peuvent se prévaloir que d'une violation de l'obligation de renseigner: d'éventuels autres manquements du curateur relèvent de l'action en responsabilité au sens des art. 454 et ss CC (VOGEL/AFFOLTER, op. cit. n. 57 ad art. 425; arrêts du Tribunal fédéral 5A_151/2014 du 4 avril 2014; 5A_594/2013 du 6 septembre 2013; 5A_11/2011). Toute personne qui, dans le cadre de mesures prises par l’autorité de protection de l’adulte, est lésée par un acte ou une omission illicites a droit à des dommages-intérêts et, pour autant que la gravité de l’atteinte le justifie, à une somme d’argent à titre de réparation morale (art. 454 al. 1 CC). La responsabilité incombe au canton; la personne lésée n’a aucun droit à réparation envers l’auteur du dommage (art. 454 al. 3 CC). Les cantons sont responsables d’un manquement de diligence du curateur aux conditions suivantes ; (i) acte illicite, (ii) dommage et (iii) lien de causalité. Les cantons disposent ensuite d’une action récursoire contre le curateur (art. 454 al. 4 CC).</w:t>
      </w:r>
    </w:p>
    <w:p>
      <w:r>
        <w:t>- 8/9 -</w:t>
      </w:r>
    </w:p>
    <w:p>
      <w:r>
        <w:t>C/9870/2022-CS</w:t>
      </w:r>
    </w:p>
    <w:p>
      <w:r>
        <w:rPr>
          <w:b/>
        </w:rPr>
        <w:t>E. 2.2</w:t>
      </w:r>
    </w:p>
    <w:p>
      <w:r>
        <w:t>En l’espèce, la recourante se plaint du fait que les curateurs du SPAd auraient acquitté la facture de réfection de son appartement, sans l'en informer, alors que cette facture n'était, selon elle, pas due. Elle se plaint également du fait qu'ils n'auraient rien entrepris afin que lui soit restitué le montant payé (à tort), lorsqu'elle le leur avait demandé. Ainsi, la recourante entend engager la responsabilité des curateurs qui auraient, selon son appréciation, mal exécuté leur mandat. La Chambre de surveillance - à l'instar du Tribunal de protection, qui l'avait d'ores et déjà clairement exposé à la recourante dans un courrier du 30 juin 2023 - n’est cependant pas compétente pour en connaître. En effet, si la recourante estime que ses intérêts ont été lésés par une action ou une omission des curateurs du SPAd, elle doit agir devant le juge civil en responsabilité contre l’Etat sur la base des art. 454ss CC, action qui nécessite, entre autre, que les curateurs aient commis un acte illicite, condition dont il est douteux qu’elle soit réalisée, lorsque, comme en l’espèce, les curateurs se sont contentés de payer une facture adressée à leur protégée. Par ailleurs, si la recourante entend par sa conclusion en "révision de la comptabilité" de son compte bancaire obtenir le remboursement de la somme de 15'000 fr. qu’elle allègue avoir perdue, elle se trompe là-encore, dès lors que cette conclusion doit également être formée devant le juge civil, si elle considère que les conditions de l’art. 454 al. 1 CC sont remplies, ce qui est extrêmement douteux, comme relevé supra. Le recours doit ainsi être rejeté, dans la faible mesure de sa recevabilité.</w:t>
      </w:r>
    </w:p>
    <w:p>
      <w:r>
        <w:rPr>
          <w:b/>
        </w:rPr>
        <w:t>E. 3</w:t>
      </w:r>
    </w:p>
    <w:p>
      <w:r>
        <w:t>Les frais judiciaires de recours seront arrêtés à 400 fr., mis à la charge de la recourante qui succombe (art 106 al. 1 CPC) et compensés avec l’avance de même montant, laquelle demeure acquise à l’Etat de Genève (art. 111 CPC). Il n’y a pas lieu à allocation de dépens. * * * * *</w:t>
      </w:r>
    </w:p>
    <w:p>
      <w:r>
        <w:t>- 9/9 -</w:t>
      </w:r>
    </w:p>
    <w:p>
      <w:r>
        <w:t>C/9870/2022-CS PAR CES MOTIFS, La Chambre de surveillance :</w:t>
      </w:r>
    </w:p>
    <w:p>
      <w:r>
        <w:t>A la forme : Déclare recevable le recours formé le 25 juillet 2024 par A______ contre la décision CTAE/4741/2024 rendue le 27 juin 2024 par le Tribunal de protection de l’adulte et de l’enfant dans la cause C/9870/2022. Au fond : Le rejette. Sur les frais : Arrête les frais judiciaires à 400 fr., les met à la charge de A______ et les compense avec l’avance de même montant effectuée, laquelle demeure acquise à l’Etat de Genève. Dit qu’il n’y a pas lieu à allocation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