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DAS/257/2024 vom 7. November 2024</w:t>
      </w:r>
    </w:p>
    <w:p>
      <w:r>
        <w:t>GE Cour de justice, 2024-11-07, FR</w:t>
      </w:r>
    </w:p>
    <w:p>
      <w:r>
        <w:rPr>
          <w:b/>
        </w:rPr>
        <w:t xml:space="preserve">Quelle: </w:t>
      </w:r>
      <w:r>
        <w:t>https://mcp.opencaselaw.ch/entscheid/ge_gerichte_DAS_257_2024</w:t>
      </w:r>
    </w:p>
    <w:p>
      <w:r>
        <w:t>FR: GE_GERICHTE DAS/257/2024 du 7 novembre 2024</w:t>
      </w:r>
    </w:p>
    <w:p>
      <w:r>
        <w:t>IT: GE_GERICHTE DAS/257/2024 del 7 novembre 2024</w:t>
      </w:r>
    </w:p>
    <w:p>
      <w:pPr>
        <w:pStyle w:val="Heading2"/>
      </w:pPr>
      <w:r>
        <w:t>Erwägungen</w:t>
      </w:r>
    </w:p>
    <w:p>
      <w:r>
        <w:rPr>
          <w:b/>
        </w:rPr>
        <w:t>E. 1</w:t>
      </w:r>
    </w:p>
    <w:p>
      <w:r>
        <w:t>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 Si le dernier jour est un samedi, un dimanche ou un jour férié reconnu par le droit fédéral ou le droit cantonal du siège du tribunal, le délai expire le premier jour ouvrable qui suit (art. 142 al. 3 CPC).</w:t>
      </w:r>
    </w:p>
    <w:p>
      <w:r>
        <w:t>- 6/9 -</w:t>
      </w:r>
    </w:p>
    <w:p>
      <w:r>
        <w:t>Erreur ! Source du renvoi introuvable. 1.1.2 En l'espèce, la valeur litigieuse prévue par l'art. 308 al. 2 CPC est atteinte, au vu des actifs figurant dans la succession du défunt. L'appel, formé dans le délai et selon la forme prescrite par la loi (art. 130, 131, 311 al. 1 CPC), est formellement recevable.</w:t>
      </w:r>
    </w:p>
    <w:p>
      <w:r>
        <w:rPr>
          <w:b/>
        </w:rPr>
        <w:t>E. 1.2</w:t>
      </w:r>
    </w:p>
    <w:p>
      <w:r>
        <w:t>La Cour revoit la cause en fait et en droit, avec un plein pouvoir d'examen (art. 310 CPC).</w:t>
      </w:r>
    </w:p>
    <w:p>
      <w:r>
        <w:rPr>
          <w:b/>
        </w:rPr>
        <w:t>E. 1.3</w:t>
      </w:r>
    </w:p>
    <w:p>
      <w:r>
        <w:t>La question de la recevabilité des pièces produites devant la Cour peut demeurer indécise, compte tenu de ce qui va suivre.</w:t>
      </w:r>
    </w:p>
    <w:p>
      <w:r>
        <w:rPr>
          <w:b/>
        </w:rPr>
        <w:t>E. 2</w:t>
      </w:r>
    </w:p>
    <w:p>
      <w:r>
        <w:t>2.1.1 Les demandes de récusation visant un juge ou un fonctionnaire de la Cour de justice sont tranchées par une délégation de cinq juges, dont le président ou un vice-président et quatre juges titulaires (art. 13 al. 3 LaCC).</w:t>
      </w:r>
    </w:p>
    <w:p>
      <w:r>
        <w:t>2.1.2 La partie qui entend obtenir la récusation d’un magistrat ou d’un fonctionnaire judiciaire la demande au tribunal aussitôt qu’elle a eu connaissance du motif de récusation. Elle doit rendre vraisemblables les faits qui motivent sa demande (art. 49 al. 1 CPC).</w:t>
      </w:r>
    </w:p>
    <w:p>
      <w:r>
        <w:rPr>
          <w:b/>
        </w:rPr>
        <w:t>E. 2.2</w:t>
      </w:r>
    </w:p>
    <w:p>
      <w:r>
        <w:t>En l’espèce, si l’appelant souhaitait solliciter la récusation du président P______, il lui appartenait de la requérir formellement, afin qu’une décision puisse être rendue par la délégation de la Cour, ce qu’il n’a pas fait. Il sera par ailleurs relevé que l’arrêt du 16 janvier 2024 a été rendu par une composition de trois magistrats et non par le seul président P______. De surcroît, le fait d’avoir déjà rendu une décision dans la même cause, même si elle était contraire à la thèse défendue par l’appelant, n’entre pas dans les causes de récusation listées par l’art. 47 CPC et ne suffit pas à faire douter de l’impartialité d’un magistrat. Au vu de ce qui précède, il ne sera pas donné suite à la requête préalable de l’appelant.</w:t>
      </w:r>
    </w:p>
    <w:p>
      <w:r>
        <w:rPr>
          <w:b/>
        </w:rPr>
        <w:t>E. 3</w:t>
      </w:r>
    </w:p>
    <w:p>
      <w:r>
        <w:t>L’appelant a initialement conclu à ce que M______ soit désigné en qualité de représentant de l’hoirie en lieu et place de Maître C______. Il a toutefois modifié par la suite ses conclusions sur ce point, renonçant à contester la désignation de Maître C______, à laquelle il s’est finalement rallié. Il n’est par conséquent pas nécessaire de traiter plus avant cette question, le chiffre 1 du dispositif de la décision attaquée n’étant plus contesté.</w:t>
      </w:r>
    </w:p>
    <w:p>
      <w:r>
        <w:rPr>
          <w:b/>
        </w:rPr>
        <w:t>E. 4</w:t>
      </w:r>
    </w:p>
    <w:p>
      <w:r>
        <w:t>4.1.1 A la demande de l’un des héritiers, l’autorité compétente peut désigner un représentant de la communauté héréditaire jusqu’au moment du partage (art. 602 al. 3 CC).</w:t>
      </w:r>
    </w:p>
    <w:p>
      <w:r>
        <w:t>- 7/9 -</w:t>
      </w:r>
    </w:p>
    <w:p>
      <w:r>
        <w:t>Erreur ! Source du renvoi introuvable.</w:t>
      </w:r>
    </w:p>
    <w:p>
      <w:r>
        <w:t>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5P_83/2003 du 8 juillet 2003 consid. 1; STEINAUER, Le droit des successions, 2ème éd., 2015, n. 1224). 4.1.2 Ne seront faits, pendant l’inventaire, que les actes nécessaires d’administration (art. 585 al. 1 CC).</w:t>
      </w:r>
    </w:p>
    <w:p>
      <w:r>
        <w:rPr>
          <w:b/>
        </w:rPr>
        <w:t>E. 4.2</w:t>
      </w:r>
    </w:p>
    <w:p>
      <w:r>
        <w:t>En l’espèce, une procédure d’inventaire est en cours, étant relevé que le notaire désigné devrait, à bref délai, dresser l’inventaire requis. Conformément à l’art. 585 al. 1 CC, seuls les actes nécessaires d’administration de la succession doivent être entrepris pendant une procédure d’inventaire. C’est par conséquent à juste titre que la Justice de paix a limité, en l’état, le mandat confié au représentant de la communauté héréditaire aux seuls actes nécessaires d’entretien et de conservation du bien immobilier sis à F______ (France). Il ne saurait en effet être question, avant de connaître les actifs et passifs de la succession, d’autoriser le représentant de l’hoirie à entreprendre des travaux de remise en état de celle-ci. La décision entreprise n’est pas critiquable sur ce point.</w:t>
      </w:r>
    </w:p>
    <w:p>
      <w:r>
        <w:rPr>
          <w:b/>
        </w:rPr>
        <w:t>E. 4.3</w:t>
      </w:r>
    </w:p>
    <w:p>
      <w:r>
        <w:t>Au vu de ce qui précède, l’appel est infondé et la décision attaquée sera confirmée.</w:t>
      </w:r>
    </w:p>
    <w:p>
      <w:r>
        <w:rPr>
          <w:b/>
        </w:rPr>
        <w:t>E. 4.4</w:t>
      </w:r>
    </w:p>
    <w:p>
      <w:r>
        <w:t>Pour le surplus, il appartiendra à la Justice de paix, après avoir suffisamment instruit ce point, de se déterminer sur la requête formée par le représentant de l’hoirie, lequel a sollicité l’autorisation d’entreprendre les formalités en vue de la vente de la villa de F______. La Cour ne saurait en effet se prononcer sur cette question, laquelle ne fait pas partie des points traités par la décision attaquée, qui lui a été soumise en sa qualité d’instance de recours.</w:t>
      </w:r>
    </w:p>
    <w:p>
      <w:r>
        <w:rPr>
          <w:b/>
        </w:rPr>
        <w:t>E. 5</w:t>
      </w:r>
    </w:p>
    <w:p>
      <w:r>
        <w:t>L’appelant a enfin conclu à ce que la Cour ordonne au Service de protection des mineurs de lui remettre une copie de son rapport d’activité pour la période de juin à octobre 2020.</w:t>
      </w:r>
    </w:p>
    <w:p>
      <w:r>
        <w:rPr>
          <w:b/>
        </w:rPr>
        <w:t>E. 5.1</w:t>
      </w:r>
    </w:p>
    <w:p>
      <w:r>
        <w:t>La Cour ne traite en principe que les griefs soulevés dans la motivation écrite contre la décision de première instance (art. 311 al. 1 et 312 al. 1 CPC).</w:t>
      </w:r>
    </w:p>
    <w:p>
      <w:r>
        <w:t>- 8/9 -</w:t>
      </w:r>
    </w:p>
    <w:p>
      <w:r>
        <w:t>Erreur ! Source du renvoi introuvable.</w:t>
      </w:r>
    </w:p>
    <w:p>
      <w:r>
        <w:rPr>
          <w:b/>
        </w:rPr>
        <w:t>E. 5.2</w:t>
      </w:r>
    </w:p>
    <w:p>
      <w:r>
        <w:t>A nouveau, l’appelant semble confondre les prérogatives des magistrats de première et de seconde instance. Dans le cadre d’un appel, la Cour revoit la décision de première instance dans les limites des griefs soulevés et ne saurait par conséquent statuer sur une question non soumise au premier juge. Or, la question du rapport du Service de protection des mineurs ne fait pas l’objet de la décision attaquée devant la Cour, de sorte que celle-ci ne peut statuer sur ce point, qui devra être soumis à la Justice de paix si l’appelant s’estime fondé à le faire.</w:t>
      </w:r>
    </w:p>
    <w:p>
      <w:r>
        <w:rPr>
          <w:b/>
        </w:rPr>
        <w:t>E. 6</w:t>
      </w:r>
    </w:p>
    <w:p>
      <w:r>
        <w:t>La Justice de paix s’étant déjà prononcée sur la question de l’immixtion de B______ dans la succession de feu son frère, question qui ne fait pas partie du dispositif de la décision attaquée, il ne sera pas donné suite à la conclusion prise par l’intimé sur ce point.</w:t>
      </w:r>
    </w:p>
    <w:p>
      <w:r>
        <w:rPr>
          <w:b/>
        </w:rPr>
        <w:t>E. 7.1</w:t>
      </w:r>
    </w:p>
    <w:p>
      <w:r>
        <w:t>Les frais judiciaires d’appel, arrêtés à 1'000 fr. (art. 26 et 35 ss RTFMC), seront mis à la charge de l’appelant, qui succombe (art. 106 al. 1 CPC). Ils seront partiellement compensés avec l’avance de frais versée, en 500 fr., qui reste acquise à l’Etat de Genève. L’appelant sera par conséquent condamné à verser à l’Etat de Genève la somme de 500 fr. à titre de solde de frais judiciaires.</w:t>
      </w:r>
    </w:p>
    <w:p>
      <w:r>
        <w:t>Il sera également condamné à verser à B______ la somme de 1'081 fr., débours et TVA compris, à titre de dépens, la note d’honoraires présentée correspondant, à teneur de dossier, au travail fourni par le conseil de B______. * * * * *</w:t>
      </w:r>
    </w:p>
    <w:p>
      <w:r>
        <w:t>- 9/9 -</w:t>
      </w:r>
    </w:p>
    <w:p>
      <w:r>
        <w:t>Erreur ! Source du renvoi introuvable.</w:t>
      </w:r>
    </w:p>
    <w:p>
      <w:r>
        <w:t>PAR CES MOTIFS, La Chambre civile : A la forme : Déclare recevable l’appel formé par A______ contre la décision DJP/794/2024 rendue le 18 juin 2024 par la Justice de paix dans la cause C/10986/2020. Au fond : Confirme la décision attaquée. Déboute A______ et B______ de toutes autres conclusions. Sur les frais : Arrête les frais judiciaires d’appel à 1'000 fr., les met à la charge de A______ et les compense partiellement avec l’avance de frais versée, qui reste acquise à l’Etat de Genève. Condamne A______ à verser à l’Etat de Genève, soit pour lui les Services financiers du Pouvoir judiciaire, la somme de 500 fr. à titre de solde de frais judiciaires. Condamne A______ à verser à B______ la somme de 1'081 fr. à titre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