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DAS/255/2022 vom 7. September 2022</w:t>
      </w:r>
    </w:p>
    <w:p>
      <w:r>
        <w:t>GE Cour de justice, 2022-09-07, FR</w:t>
      </w:r>
    </w:p>
    <w:p>
      <w:r>
        <w:rPr>
          <w:b/>
        </w:rPr>
        <w:t xml:space="preserve">Quelle: </w:t>
      </w:r>
      <w:r>
        <w:t>https://mcp.opencaselaw.ch/entscheid/ge_gerichte_DAS_255_2022</w:t>
      </w:r>
    </w:p>
    <w:p>
      <w:r>
        <w:t>FR: GE_GERICHTE DAS/255/2022 du 7 septembre 2022</w:t>
      </w:r>
    </w:p>
    <w:p>
      <w:r>
        <w:t>IT: GE_GERICHTE DAS/255/2022 del 7 settembre 2022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En l'espèce, le recours a été formé par le père, dans le délai prescrit, devant l’autorité compétente et selon la forme prescrite; il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n’a pas remis en cause le système de garde partagée et n’a contesté que quelques points des modalités de prise en charge arrêtées par le Tribunal de protection (horaires du mercredi, horaires des échanges durant les périodes de vacances scolaires et accord écrit pour déroger aux modalités fixées par le Tribunal de protection et la Chambre de surveillance).</w:t>
      </w:r>
    </w:p>
    <w:p>
      <w:r>
        <w:rPr>
          <w:b/>
        </w:rPr>
        <w:t>E. 2.1</w:t>
      </w:r>
    </w:p>
    <w:p>
      <w:r>
        <w:t>En matière d'attribution des droits parentaux, le bien de l'enfant constitue la règle fondamentale (ATF 141 III 328 consid. 5.4), les intérêts des parents devant être relégués au second plan (ATF 142 III 617 consid. 3.2.3; 131 III 209</w:t>
      </w:r>
    </w:p>
    <w:p>
      <w:r>
        <w:t>- 11/16 -</w:t>
      </w:r>
    </w:p>
    <w:p>
      <w:r>
        <w:t>C/2015/2021-CS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5A_534/2019 du 31 janvier 2020 consid. 3.1).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w:t>
      </w:r>
    </w:p>
    <w:p>
      <w:r>
        <w:rPr>
          <w:b/>
        </w:rPr>
        <w:t>E. 2.2</w:t>
      </w:r>
    </w:p>
    <w:p>
      <w:r>
        <w:t>En l’espèce, le système de garde partagée, exercé depuis de nombreuses années par les parties, semble, sur le principe, convenir à leur fils mineur. Il résulte toutefois des allégations des parties que celles-ci ont une vision «comptable» de la garde partagée, ne laissant aucune place à la moindre improvisation ou adaptation, chacune rejetant sur l’autre la responsabilité de cette situation. Il découle de ce qui précède que la moindre anicroche donne lieu à des contestations et à des oppositions, chaque partie faisant montre d’un esprit inutilement chicanier. Si, jusqu’à présent, le développement du mineur ne semble pas avoir été trop affecté par l’attitude peu collaborante et rigide de ses parents, il n’en demeure pas moins que tel risque d’être le cas à l’avenir. Compte tenu de leur profession respective, on peut attendre des deux parents qu’ils soient d’autant plus attentifs à ce risque. D______ va en effet entrer dans l’adolescence et l’application stricte d’un planning décidé à l’avance, précis à l’heure près, sera de plus en plus difficile à respecter, ce qui pourrait, à terme et à défaut de collaboration entre les parties, remettre en cause le maintien de la garde partagée. Il appartient par conséquent aux parties de faire preuve de la souplesse nécessaire, afin de permettre à leur fils d’évoluer dans un climat serein.</w:t>
      </w:r>
    </w:p>
    <w:p>
      <w:r>
        <w:t>- 12/16 -</w:t>
      </w:r>
    </w:p>
    <w:p>
      <w:r>
        <w:t>C/2015/2021-CS En ce qui concerne les griefs relativement inconsistants soulevés par le recourant à l’encontre des modalités fixées par le Tribunal de protection pour la prise en charge du mineur, ils appellent les remarques suivantes: Le Tribunal de protection a considéré que l’enfant devait être, le mercredi de 12h00 à 18h00, sous la garde du parent n’ayant pas le week-end suivant. Afin d’éviter que tout imprévu survenant le mercredi entre 8h00 et 12h00 (maladie subite contraignant D______ à rentrer de l’école sans attendre 12h00 par exemple) ne donne lieu à des discussions stériles entre les parties, il sera prévu que le mineur sera pris en charge le mercredi, de 8h00 à 18h00, par le parent n’ayant pas le week-end suivant. En ce qui concerne les horaires d’échange de l’enfant pendant les vacances scolaires, il y a lieu de reprendre ce qui avait été recommandé par le Service d’évaluation et d’accompagnement de la séparation parentale dans son rapport du 20 octobre 2021 et qui correspondait à l’accord entre les parties, à savoir que lesdits échanges auraient lieu à 12h00 ou à 18h00. Le recourant a enfin conclu à ce qu’un accord écrit soit nécessaire pour déroger aux modalités de prise en charge de l’enfant telles que fixées par les instances judiciaires. Il n'a toutefois pas motivé cette exigence, à laquelle la Chambre de surveillance ne saurait donner une suite favorable et ce afin d’éviter de rigidifier encore davantage le processus décisionnel des parties. Par souci de clarté, le chiffre 2 du dispositif de l’ordonnance attaquée sera annulé et reformulé, afin d’y intégrer les légères modifications mentionnées ci- dessus.</w:t>
      </w:r>
    </w:p>
    <w:p>
      <w:r>
        <w:rPr>
          <w:b/>
        </w:rPr>
        <w:t>E. 3</w:t>
      </w:r>
    </w:p>
    <w:p>
      <w:r>
        <w:t>Le recourant conteste l’instauration d’une curatelle d’assistance éducative. 3.1.1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3.1.2 Lorsque les circonstances l’exigent, l’autorité de protection de l’enfant nomme un curateur qui assiste les père et mère de ses conseils et de son appui dans la prise en charge de l’enfant (art. 308 al. 1 CC). Elle peut conférer au curateur certains pouvoirs (…), ainsi que la surveillance des relations personnelles (art. 308 al. 2 CC).</w:t>
      </w:r>
    </w:p>
    <w:p>
      <w:r>
        <w:t>- 13/16 -</w:t>
      </w:r>
    </w:p>
    <w:p>
      <w:r>
        <w:t>C/2015/2021-CS L’institution d’une curatelle éducative au sens de l’art. 308 CC suppose que le développement de l’enfant soit menacé (cf. art. 307 al. 1er CC), que ce danger ne puisse être écarté par les père et mère eux-mêmes (cf. art. 307 al. 1er CC) ni par une mesure moins incisive et que l’intervention active d’un conseiller apparaisse adéquate pour atteindre ce but ; lorsque le bien-être de l’enfant est menacé en raison de difficultés dans l’exercice du droit de visite, il ne faut pas instaurer une curatelle éducative selon l’al. 1, mais une curatelle éducative limitée à la surveillance des relations personnelles au sens de l’al. 2 (ATF 140 III 241, JdT 2014 II 369).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w:t>
      </w:r>
    </w:p>
    <w:p>
      <w:r>
        <w:rPr>
          <w:b/>
        </w:rPr>
        <w:t>E. 3.2</w:t>
      </w:r>
    </w:p>
    <w:p>
      <w:r>
        <w:t>En l’espèce, les capacités éducatives individuelles des deux parents ne sont pas contestées et il est acquis que tant le père que la mère sont investis dans l’éducation de leur fils. Dès lors, les conditions au prononcé d’une curatelle d’assistance éducative ne sont pas remplies, dans la mesure où les parents n’ont nul besoin qu’un tiers les assiste de ses conseils et de son appui dans la prise en charge de leur fils. Si le Tribunal de protection a formellement instauré une curatelle d’assistance éducative, il a en réalité donné au curateur la mission de gérer et, au besoin, trancher, les divergences parentales portant sur les modalités de prise en charge de l’enfant, que ce soit en cours d’année ou à l’occasion des congés et vacances scolaires, en particulier en cas d’imprévus donnant lieu à des désaccords et des tensions; le curateur s’est également vu confier la tâche de favoriser une amélioration de la communication parentale. Le Tribunal de protection a ainsi confié au curateur une mission qui relève de la curatelle d’organisation et de surveillance du droit de visite au sens de l’art. 308 al. 2 CC, plutôt que de l’assistance éducative de l’art. 308 al. 1 CC. Or, en l’espèce, aucune des parties ne bénéficie d’un droit de visite, puisque toutes deux se sont vu attribuer la garde de leur enfant, qu’elles exercent de manière partagée. Comme cela a été relevé sous considérant 2.1 ci-dessus, l’exercice d’une garde partagée implique l’existence, chez les parents, d’une bonne capacité et volonté de communiquer et de coopérer. Si ces conditions</w:t>
      </w:r>
    </w:p>
    <w:p>
      <w:r>
        <w:t>- 14/16 -</w:t>
      </w:r>
    </w:p>
    <w:p>
      <w:r>
        <w:t>C/2015/2021-CS font durablement défaut, c’est le principe même de la garde partagée qui doit être remis en cause. L’on ne saurait à la fois maintenir le système de la garde partagée et instaurer une curatelle d’organisation et de surveillance d’un droit de visite inexistant, pour pallier les difficultés de collaboration des parties et leur mésentente, sauf à détourner la mesure prévue à l’art. 308 CC de son but. Par ailleurs, la prise en charge du mineur D______ par chacun de ses parents fait désormais l’objet d’une réglementation extrêmement précise et les difficultés entre les parties semblent provenir des imprévus, qui rendent nécessaire la modification immédiate du planning, modification qui s’avère compliquée en raison de l’absence de dialogue constructif entre les parents. Or, il est douteux qu’un curateur soit en mesure, en cas d’imprévu, de réagir suffisamment rapidement pour que son intervention puisse avoir une réelle utilité. Il résulte de ce qui précède que les conditions légales au prononcé d’une curatelle d’assistance éducative ne sont pas remplies et il y a lieu d’annuler les chiffres 7, 8, 9, 11 et 12 du dispositif de l’ordonnance attaquée.</w:t>
      </w:r>
    </w:p>
    <w:p>
      <w:r>
        <w:rPr>
          <w:b/>
        </w:rPr>
        <w:t>E. 3.3</w:t>
      </w:r>
    </w:p>
    <w:p>
      <w:r>
        <w:t>C’est en revanche à tort que le recourant conteste le chiffre 10 du dispositif de la même ordonnance. Il résulte en effet de la procédure que les parties s’opposent parfois notamment sur des questions liées à l’éducation de leur fils et plus particulièrement sur ses activités sportives. Les autorités judiciaires n’ayant pas la compétence de trancher ces questions à la place des parents, il appartiendra à ceux-ci de trouver des solutions négociées et ce tant qu’ils exerceront en commun l’autorité parentale. Ainsi, l’exhortation faite par le Tribunal de protection, visant à inciter les parties à s’adresser, en cas de divergence persistante, à un thérapeute, médiateur ou autre spécialiste, paraît adéquate et sera confirmée.</w:t>
      </w:r>
    </w:p>
    <w:p>
      <w:r>
        <w:rPr>
          <w:b/>
        </w:rPr>
        <w:t>E. 4</w:t>
      </w:r>
    </w:p>
    <w:p>
      <w:r>
        <w:t>Seules les procédures relatives aux mesures de protection de l’enfant sont gratuites (art. 81 al. 1 LaCC). En l’espèce, la procédure ne porte pas à proprement parler sur des mesures de protection, mais sur des questions liées à l’organisation de la prise en charge de l’enfant par ses parents, de sorte qu’elle n’est pas gratuite (art. 67A et B RTFMC).</w:t>
      </w:r>
    </w:p>
    <w:p>
      <w:r>
        <w:t>En l’espèce, l’émolument de décision sera fixé à 1'000 fr. et mis à la charge des parties par moitié chacune.</w:t>
      </w:r>
    </w:p>
    <w:p>
      <w:r>
        <w:t>Elles seront condamnées à payer leur part, en 500 fr., à l’Etat de Genève, soit pour lui les Services financiers du Pouvoir judiciaire. Il ne sera pas alloué de dépens, vu la qualité des parties (art. 107 al. 1 let. c CPC). * * * * *</w:t>
      </w:r>
    </w:p>
    <w:p>
      <w:r>
        <w:t>- 15/16 -</w:t>
      </w:r>
    </w:p>
    <w:p>
      <w:r>
        <w:t>C/2015/2021-CS PAR CES MOTIFS, La Chambre de surveillance : A la forme : Déclare recevable le recours formé par A______ contre l’ordonnance DTAE/5215/2021 du 2 août 2022 rendue par le Tribunal de protection de l’adulte et de l’enfant dans la cause C/2015/2021. Au fond : Annule les chiffres 2, 7, 8, 9, 11 et 12 du dispositif de cette ordonnance et statuant à nouveau : Dit qu’B______ et A______ assureront la prise en charge partagée de leur fils D______ selon les modalités suivantes, sauf accord contraire entre eux: du lundi 8h00 au mercredi 8h00, auprès de la mère; du mercredi 18h00 au vendredi 16h00 auprès du père; le mercredi de 8h00 à 18h00, auprès du parent qui n’a pas le week-end qui suit; un week-end sur deux du vendredi 16h00 jusqu’au lundi 8h00 avec chacun des parents; les vacances scolaires et les jours fériés sont répartis par moitié selon un mode d’alternance (années paires et impaires), hormis pour le Jeûne genevois où le mineur est avec son père et le 1er mai avec sa mère, l’Ascension allant au parent ayant la garde le week-end qui suit, et Pentecôte allant au parent l’ayant le week-end qui précède; à défaut d’accord entre les parents, les périodes suivantes seront à répartir selon les modalités ci-après, du premier jour officiel des vacances à 8h00 jusqu’au dernier jour officiel des vacances à 18h00, les dates stipulées par le calendrier officiel de Genève faisant foi: les vacances de Pâques (la première partie avec le père et la deuxième partie avec la mère pour les années paires et inversement les années impaires); les vacances d’été (la première partie avec la mère et la deuxième partie avec le père pour les années paires et inversement pour les années impaires); Noël et Nouvel an (la première partie avec la mère et la deuxième partie avec le père pour les années paires et inversement les années impaires); l’entier des vacances de février (avec le père les années paires et avec la mère les années impaires) et d’octobre (avec la mère les années paires et avec le père les années impaires), les passages de l’enfant devant avoir lieu à 12h00 ou à 18h00. Confirme pour le surplus l’ordonnance attaquée. Déboute les parties de toutes autres conclusions.</w:t>
      </w:r>
    </w:p>
    <w:p>
      <w:r>
        <w:t>- 16/16 -</w:t>
      </w:r>
    </w:p>
    <w:p>
      <w:r>
        <w:t>C/2015/2021-CS</w:t>
      </w:r>
    </w:p>
    <w:p>
      <w:r>
        <w:t>Sur les frais : Fixe l’émolument de décision à 1'000 fr. Le met pour moitié à la charge de A______ et pour moitié à la charge de B______. Condamne A______ et B______ à verser la somme de 500 fr. chacun à l’Etat de Genève, soit pour lui les Services financiers du Pouvoir judiciaire.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