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DAS/250/2023 vom 28. Juli 2023</w:t>
      </w:r>
    </w:p>
    <w:p>
      <w:r>
        <w:t>GE Cour de justice, 2023-07-28, FR</w:t>
      </w:r>
    </w:p>
    <w:p>
      <w:r>
        <w:rPr>
          <w:b/>
        </w:rPr>
        <w:t xml:space="preserve">Quelle: </w:t>
      </w:r>
      <w:r>
        <w:t>https://mcp.opencaselaw.ch/entscheid/ge_gerichte_DAS_250_2023</w:t>
      </w:r>
    </w:p>
    <w:p>
      <w:r>
        <w:t>FR: GE_GERICHTE DAS/250/2023 du 28 juillet 2023</w:t>
      </w:r>
    </w:p>
    <w:p>
      <w:r>
        <w:t>IT: GE_GERICHTE DAS/250/2023 del 28 luglio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w:t>
      </w:r>
    </w:p>
    <w:p>
      <w:r>
        <w:rPr>
          <w:b/>
        </w:rPr>
        <w:t>E. 1.2</w:t>
      </w:r>
    </w:p>
    <w:p>
      <w:r>
        <w:t>Compte tenu de la matière, soumise aux maximes inquisitoire et d'office illimitées, la cognition de la Chambre de surveillance est complète. Elle n'est pas liée par les conclusions des parties (art. 446 CC).</w:t>
      </w:r>
    </w:p>
    <w:p>
      <w:r>
        <w:t>2. B______ bénéficiait d’un délai de 30 jours, à compter du 11 août 2023, pour adresser à la Chambre de surveillance son mémoire de réponse. Le délai pour ce faire est par conséquent arrivé à échéance le 10 septembre 2023, soit le lundi 11 septembre, le dernier jour du délai tombant sur un dimanche (art. 142 al. 3 CPC) et la suspension des délais prévue à l’art. 145 al. 1 let. b CPC n’étant pas applicable devant le Tribunal de protection (art. 31 al. 2 let. e LaCC). Déposée au greffe de la Cour de justice le 14 septembre 2023, la réponse de B______ est par conséquent tardive et, partant, irrecevable.</w:t>
      </w:r>
    </w:p>
    <w:p>
      <w:r>
        <w:rPr>
          <w:b/>
        </w:rPr>
        <w:t>E. 3</w:t>
      </w:r>
    </w:p>
    <w:p>
      <w:r>
        <w:t>Le recourant a principalement conclu à ce que l’autorité parentale exclusive et la garde de l’enfant E______ lui soient attribuées.</w:t>
      </w:r>
    </w:p>
    <w:p>
      <w:r>
        <w:t>3.1.1 L’enfant est soumis, pendant sa minorité, à l’autorité parentale conjointe de ses père et mère (art. 296 al. 1 CC).</w:t>
      </w:r>
    </w:p>
    <w:p>
      <w:r>
        <w:t>A la requête de l’un des parents ou de l’enfant ou encore d’office, l’autorité de protection de l’enfant modifie l’attribution de l’autorité parentale lorsque des faits nouveaux importants le commandent pour le bien de l’enfant (art. 298d al. 1 CC). Elle peut aussi se limiter à statuer sur la garde de l’enfant, les relations personnelles ou la participation de chaque parent à sa prise en charge (art. 298d al. 2 CC).</w:t>
      </w:r>
    </w:p>
    <w:p>
      <w:r>
        <w:t>- 11/16 -</w:t>
      </w:r>
    </w:p>
    <w:p>
      <w:r>
        <w:t>C/4461/2018-CS</w:t>
      </w:r>
    </w:p>
    <w:p>
      <w:r>
        <w:t>3.1.2 L’autorité parentale inclut le droit de déterminer le lieu de résidence de l’enfant (art. 301a al. 1 CC). Un parent exerçant conjointement l’autorité parentale ne peut modifier le lieu de résidence de l’enfant qu’avec l’accord de l’autre parent ou sur décision du juge ou de l’autorité de protection de l’enfant lorsque le nouveau lieu de résidence se trouve à l’étranger (art. 301a al. 2 let. a CC).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 S'agissant de l'autorisation de déplacer le lieu de résidence d'un enfant, le modèle de prise en charge préexistant constitue, sous réserve d'une modification de la situation, le point de départ de l'analyse. (ATF 142 III 617 consid. 3.2.3-3.2.4; arrêt du Tribunal fédéral 5A_701/2021 du 24 février 2022 consid. 3.1.2).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 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5A_916/2019 du 12 mars 2020 consid. 3.1 et les arrêts cités).</w:t>
      </w:r>
    </w:p>
    <w:p>
      <w:r>
        <w:t>La décision du juge sera prise dans l'intérêt de l'enfant, lequel est protégé par la Constitution (art. 11 Cst.) et constitue la ligne directrice pour l'ensemble des affaires se rapportant aux enfants (ATF 141 III 312 consid. 4.2.4, 328 consid. 5.4; arrêt du Tribunal fédéral 5A_444/2017 du 30 août 2017 consid. 5.3.1).</w:t>
      </w:r>
    </w:p>
    <w:p>
      <w:r>
        <w:rPr>
          <w:b/>
        </w:rPr>
        <w:t>E. 3.2</w:t>
      </w:r>
    </w:p>
    <w:p>
      <w:r>
        <w:t>Le recourant fait grief au Tribunal de protection d’avoir retenu, selon lui sans autres éléments que les déclarations de B______, qu’il souffre de troubles psychiatriques.</w:t>
      </w:r>
    </w:p>
    <w:p>
      <w:r>
        <w:t>Ce grief est non seulement infondé, mais également téméraire, puisque contraire au contenu des déclarations de son médecin traitant et de l’un de ses anciens psychiatres. Il ressort ainsi du dossier médical du recourant que ce</w:t>
      </w:r>
    </w:p>
    <w:p>
      <w:r>
        <w:t>- 12/16 -</w:t>
      </w:r>
    </w:p>
    <w:p>
      <w:r>
        <w:t>C/4461/2018-CS dernier présentait, lorsqu’il avait consulté son ancien psychiatre, des idées délirantes de contenu mystique, religieux et paranoïaque; le diagnostic de schizophrénie avait été retenu. Le recourant avait ensuite cessé son suivi auprès de ce psychiatre, souhaitant consulter un médecin davantage tourné vers la spiritualité. Bien que son médecin traitant lui ait conseillé de reprendre un suivi auprès d’un psychiatre, il s’y était refusé, soutenant être capable de maîtriser ce qu’il nomme des « crises chamaniques », qui le mettent prétendument en lien avec des divinités de la nature.</w:t>
      </w:r>
    </w:p>
    <w:p>
      <w:r>
        <w:t>Le recourant ne saurait sérieusement soutenir que le certificat médical établi le 6 juillet 2023 par le Dr K______ permettrait de retenir qu’il ne souffre d’aucun trouble psychiatrique. Ce certificat, au demeurant très bref, ne fait que mentionner le fait qu’il n’y avait, au moment de sa rédaction, aucune contre-indication à ce que le patient, qui avait demandé un suivi auprès du CAPPI L______, se rende en France pour rencontrer son fils, selon les modalités fixées par le Tribunal de protection, à savoir en présence d’un tiers. A aucun moment dans ledit certificat le Dr K______ ne s’est prononcé sur la santé psychique du recourant, lequel ne saurait par conséquent en tirer aucune conclusion sur ce point.</w:t>
      </w:r>
    </w:p>
    <w:p>
      <w:r>
        <w:t>Enfin, certains propos tenus par le recourant devant le Tribunal de protection lors de l’audience du 19 avril 2023, ayant un contenu mystique et peu cohérent, voire délirant, confirment l’existence des troubles psychiatriques qu’il s’obstine à nier.</w:t>
      </w:r>
    </w:p>
    <w:p>
      <w:r>
        <w:t>Au vu de ce qui précède, le recourant ne saurait faire grief au Tribunal de protection d’avoir considéré, sans qu’il s’agisse d’un « reproche » formulé à son encontre mais d’un simple constat factuel, qu’il n’était pas en mesure de s’occuper d’un enfant âgé de 5 ans, qui plus est souffrant d’un diabète de type I, nécessitant par conséquent des soins appropriés et une surveillance constante. Au demeurant, le fait d’avoir autorisé le mineur à suivre sa mère à F______ est conforme à la situation qui prévalait depuis la séparation des parties, la mère ayant été, à tout le moins depuis lors, le parent de référence de l’enfant. Il est dès lors dans l’intérêt de celui-ci de continuer à être pris en charge par sa mère, dont rien ne permet de retenir qu’elle ne disposerait pas, contrairement au recourant, des capacités parentales requises.</w:t>
      </w:r>
    </w:p>
    <w:p>
      <w:r>
        <w:t>Pour le surplus, le Tribunal de protection, conformément à l’art. 296 al. 1 CC, a maintenu l’autorité parentale conjointe des deux parents sur l’enfant, se contentant de restreindre celle du père afin de permettre à la mère d’effectuer seule certaines démarches en faveur du mineur. Une telle solution, qui maintient pour l’essentiel l’autorité parentale du père, ne souffre aucune critique et est conforme à l’intérêt du mineur.</w:t>
      </w:r>
    </w:p>
    <w:p>
      <w:r>
        <w:t>- 13/16 -</w:t>
      </w:r>
    </w:p>
    <w:p>
      <w:r>
        <w:t>C/4461/2018-CS</w:t>
      </w:r>
    </w:p>
    <w:p>
      <w:r>
        <w:t>Les chiffres 1, 2, 3 et 4 du dispositif de l’ordonnance attaquée seront confirmés.</w:t>
      </w:r>
    </w:p>
    <w:p>
      <w:r>
        <w:rPr>
          <w:b/>
        </w:rPr>
        <w:t>E. 4</w:t>
      </w:r>
    </w:p>
    <w:p>
      <w:r>
        <w:t>Subsidiairement, le recourant remet en cause les modalités des relations personnelles fixées par le Tribunal de protection, sollicitant, en substance, l’octroi d’un droit de visite comprenant les nuits, ainsi que la moitié des vacances scolaires et des jours fériés.</w:t>
      </w:r>
    </w:p>
    <w:p>
      <w:r>
        <w:t>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w:t>
      </w:r>
    </w:p>
    <w:p>
      <w:r>
        <w:t>- 14/16 -</w:t>
      </w:r>
    </w:p>
    <w:p>
      <w:r>
        <w:t>C/4461/2018-CS principe de la proportionnalité et le sens des relations personnelles interdisent la suppression complète de ce droit (ATF 122 III 404, consid. 3b, JdT 1998 I 46; arrêts du Tribunal fédéral 5C.244.2001,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w:t>
      </w:r>
    </w:p>
    <w:p>
      <w:r>
        <w:rPr>
          <w:b/>
        </w:rPr>
        <w:t>E. 4.2</w:t>
      </w:r>
    </w:p>
    <w:p>
      <w:r>
        <w:t>En l’espèce et bien que le recourant le conteste, il est établi qu’il souffre d’une maladie psychiatrique, laquelle affecte ses capacités parentales. En l’état, il ne bénéficie d’aucun traitement et ne prend pas de médicaments. Le simple fait qu’il ait demandé un suivi auprès du CAPPI, selon le certificat du Dr K______ et qu’il ait adressé un courriel à la Fondation M______, sur conseil de son avocat et par conséquent pour les seuls besoins de la procédure, ne permet pas de retenir qu’il est conscient de sa pathologie et qu’il entend se soumettre à une prise en charge médicale. Le mineur E______ n’est âgé que de 5 ans et est atteint d’une maladie chronique nécessitant des soins particuliers tant en ce qui concerne son alimentation que l’administration de l’insuline; il a également besoin d’une surveillance constante, étant relevé qu’il risque, en cas de forte hypoglycémie, de tomber dans le coma. Pour l’instant et compte tenu de son jeune âge, l’enfant n’est pas en mesure de gérer seul sa maladie et dépend par conséquent entièrement des personnes qui s’occupent de lui. Compte tenu de ce qui précède, il n’est pas envisageable de confier l’enfant à son père dans le cadre d’un droit de visite excédant quelques heures, en présence d’un tiers. Le risque que le recourant se montre inadéquat dans la prise en charge de l’enfant est en effet trop élevé, ce d’autant plus que les conséquences pourraient être dramatiques pour le mineur, ce dont le recourant ne semble avoir aucune conscience. Compte tenu de ce qui précède, c’est à juste titre que le Tribunal de protection a fixé un droit de visite limité à quelques heures tous les deux mois, en présence d’une tierce personne. Ces modalités doivent être confirmées.</w:t>
      </w:r>
    </w:p>
    <w:p>
      <w:r>
        <w:t>- 15/16 -</w:t>
      </w:r>
    </w:p>
    <w:p>
      <w:r>
        <w:t>C/4461/2018-CS Pour le surplus, le Tribunal de protection a autorisé un appel par semaine, un ou deux messages hebdomadaires et un éventuel courrier mensuel. En l’état, compte tenu de l’âge de l’enfant et des problèmes non soignés du recourant, de telles modalités paraissent adéquates et seront confirmées. Il appartiendra au recourant de se montrer régulier et adéquat dans l’exercice des relations personnelles, telles qu’elles ont été fixées par le Tribunal de protection, ce qui lui permettra, à l’avenir, de solliciter un élargissement de celles-ci.</w:t>
      </w:r>
    </w:p>
    <w:p>
      <w:r>
        <w:rPr>
          <w:b/>
        </w:rPr>
        <w:t>E. 4.3</w:t>
      </w:r>
    </w:p>
    <w:p>
      <w:r>
        <w:t>Enfin, le Tribunal de protection a fait instruction à la mère de transmettre au recourant, deux fois par année, copie des bulletins scolaires du mineur et des éventuels commentaires des enseignants. Rien ne justifie en l’état, compte tenu du jeune âge de l’enfant, qui n’en est qu’à ses débuts scolaires, d’astreindre la mère à des communications plus fréquentes. Il sera en outre rappelé que le père étant titulaire de l’autorité parentale conjointe, il a tout loisir de se renseigner directement auprès de l’établissement scolaire fréquenté par son fils. Infondé, le recours sera rejeté.</w:t>
      </w:r>
    </w:p>
    <w:p>
      <w:r>
        <w:rPr>
          <w:b/>
        </w:rPr>
        <w:t>E. 5</w:t>
      </w:r>
    </w:p>
    <w:p>
      <w:r>
        <w:t>La procédure, qui ne porte pas sur des mesures de protection de l’enfant, n’est pas gratuite (art. 81 al. 1 LaCC a contrario ; art. 67A et 67B RTFMC).</w:t>
      </w:r>
    </w:p>
    <w:p>
      <w:r>
        <w:t>Les frais judiciaires seront fixés à 500 fr., comprenant les frais relatifs à la décision rendue sur effet suspensif, et seront mis à la charge du recourant, qui succombe. Ils seront toutefois provisoirement laissés à la charge de l’Etat de Genève, compte tenu du bénéfice de l’assistance judiciaire accordé au recourant. * * * * *</w:t>
      </w:r>
    </w:p>
    <w:p>
      <w:r>
        <w:t>- 16/16 -</w:t>
      </w:r>
    </w:p>
    <w:p>
      <w:r>
        <w:t>C/4461/2018-CS PAR CES MOTIFS, La Chambre de surveillance : A la forme : Déclare recevable le recours formé par A______ contre l’ordonnance DTAE/3076/2023 rendue le 19 avril 2023 par le Tribunal de protection de l’adulte et de l’enfant dans la cause C/4461/2018. Au fond : Le rejette. Sur les frais : Arrête les frais judiciaires de la procédure de recours à 500 fr., les met à la charge de A______ et dit qu’ils sont provisoirement laissés à la charge de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