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DAS/249/2025 vom 18. Dezember 2025</w:t>
      </w:r>
    </w:p>
    <w:p>
      <w:r>
        <w:t>GE Cour de justice, 2025-12-18, FR</w:t>
      </w:r>
    </w:p>
    <w:p>
      <w:r>
        <w:rPr>
          <w:b/>
        </w:rPr>
        <w:t xml:space="preserve">Quelle: </w:t>
      </w:r>
      <w:r>
        <w:t>https://mcp.opencaselaw.ch/entscheid/ge_gerichte_DAS_249_2025</w:t>
      </w:r>
    </w:p>
    <w:p>
      <w:r>
        <w:t>FR: GE_GERICHTE DAS/249/2025 du 18 décembre 2025</w:t>
      </w:r>
    </w:p>
    <w:p>
      <w:r>
        <w:t>IT: GE_GERICHTE DAS/249/2025 del 18 dicembre 2025</w:t>
      </w:r>
    </w:p>
    <w:p>
      <w:pPr>
        <w:pStyle w:val="Heading2"/>
      </w:pPr>
      <w:r>
        <w:t>Erwägungen</w:t>
      </w:r>
    </w:p>
    <w:p>
      <w:r>
        <w:rPr>
          <w:b/>
        </w:rPr>
        <w:t>E. 1.1</w:t>
      </w:r>
    </w:p>
    <w:p>
      <w:r>
        <w:t>Les décisions du juge de paix, qui relèvent de la juridiction gracieuse et sont soumises à la procédure sommaire (art. 248 let. e CPC), sont susceptibles d'un appel auprès de la Chambre civile de la Cour de justice (art. 120 al. 2 LOJ) dans le délai de dix jours (art. 314 al. 1 CPC) si la valeur litigieuse est égale ou supérieure à 10'000 fr. (art. 308 al. 2 CPC). La délivrance d'un certificat d'héritier est de nature pécuniaire, dès lors que, comme c'est la règle en matière successorale (arrêt du Tribunal fédéral 5A_395/2010 du 22 octobre 2010 consid. 1.2.2), ce document vise un but économique (arrêt du Tribunal fédéral 5A_91/2019 du 4 février 2020 consid. 1 et les références citées). Interjeté en temps utile et motivé par écrit, l’acte est de ce point de vue recevable. Cela étant, l’on ignore tout, tant à lecture du dossier qu’à teneur de l’acte de recours, de la valeur de la succession. Dès lors qu’il ne peut être admis sans autre que la valeur de la succession est supérieure à 10'000 fr., l’appel est irrecevable. L’acte déposé respectant néanmoins les formes légales, comme relevé plus haut, il sera converti en un recours au sens des art. 319 lit. a CPC.</w:t>
      </w:r>
    </w:p>
    <w:p>
      <w:r>
        <w:rPr>
          <w:b/>
        </w:rPr>
        <w:t>E. 1.2</w:t>
      </w:r>
    </w:p>
    <w:p>
      <w:r>
        <w:t>Sur recours, la Cour ne revoit la cause avec un plein pouvoir d'examen qu’en droit, sa cognition étant restreinte pour le surplus (art. 320 CPC).</w:t>
      </w:r>
    </w:p>
    <w:p>
      <w:r>
        <w:rPr>
          <w:b/>
        </w:rPr>
        <w:t>E. 2</w:t>
      </w:r>
    </w:p>
    <w:p>
      <w:r>
        <w:t>La recourante fait grief à la Justice de paix d'avoir violé le droit en requérant du notaire en charge de la succession la production d’un certificat d’héritier contraire aux volontés claires de la défunte et de l’avoir homologué.</w:t>
      </w:r>
    </w:p>
    <w:p>
      <w:r>
        <w:rPr>
          <w:b/>
        </w:rPr>
        <w:t>E. 2.1</w:t>
      </w:r>
    </w:p>
    <w:p>
      <w:r>
        <w:t>Après la remise du testament, l'autorité compétente soit ordonne l'administration d'office, soit envoie les héritiers légaux en possession provisoire des biens (art. 556 al. 3 CC). Lorsqu'aucune opposition n'a été enregistrée dans le mois suivant la communication du testament, les héritiers institués ou les personnes gratifiées par une disposition plus ancienne peuvent réclamer la délivrance d'un certificat d'héritier; les actions en nullité et en réduction sont réservées (art. 559 al. 1 CC). Le certificat d'héritier ne jouit d'aucune autorité de la chose jugée quant à la qualité d'héritiers des personnes qui y sont mentionnées, partant il ne confère aucun droit matériel aux personnes qui y sont mentionnées (arrêt du Tribunal fédéral 5A_570/2017 du 27 août 2018, consid. 5.2). Il est destiné à attester de la légitimation des héritiers institués à se voir remettre la succession de manière</w:t>
      </w:r>
    </w:p>
    <w:p>
      <w:r>
        <w:t>- 5/7 -</w:t>
      </w:r>
    </w:p>
    <w:p>
      <w:r>
        <w:t>Erreur ! Source du renvoi introuvable. provisoire, soit jusqu'à expiration des délais pour agir en nullité ou en réduction (art. 521 al. 1 et 533 al. CC). Ne bénéficiant pas de la force de chose jugée et pouvant être reconsidérée en tout temps, la délivrance d'un tel certificat n'est pas précédée d'un examen portant sur des questions de droit matériel, dont le règlement définitif est de la compétence du juge civil. Ainsi, le certificat d'héritier constitue un titre de légitimation provisoire permettant de disposer des biens de la succession et ne détermine pas de manière définitive la qualité des héritiers venant à celle-ci (ATF 128 III 318, consid. 2.2.2, JdT 2002 I p. 479; arrêt du Tribunal fédéral 5A_495/2010 du 10 janvier 2011, consid. 2.3.2).</w:t>
      </w:r>
    </w:p>
    <w:p>
      <w:r>
        <w:t>Un certificat d'héritier peut être modifié en tout temps, voire révoqué, dès qu'il se révèle matériellement erroné. La modification intervient d'office ou sur requête (MEIER/REYMOND-ENIAEVA, in Commentaire romand, Code civil II, n. 30 ad art. 559).</w:t>
      </w:r>
    </w:p>
    <w:p>
      <w:r>
        <w:t>Selon l’art. 572 al. 2 CC, en cas de répudiation d’un des cohéritiers, s’il existe des dispositions pour cause de mort, la part de l’héritier qui répudie passe aux héritiers légaux les plus proches du défunt, lorsque les dispositions ne révèlent pas une intention contraire de leur auteur.</w:t>
      </w:r>
    </w:p>
    <w:p>
      <w:r>
        <w:t>Certes, s'il incombe au juge civil de déterminer de manière définitive l'interprétation à donner aux dernières dispositions du défunt, l'autorité compétente pour établir le certificat d'héritier dispose d'un pouvoir restreint, limité à une interprétation provisoire, lors de laquelle elle doit en particulier tenir compte des éventuels accords entre les parties (arrêt précité du Tribunal fédéral 5A_495/2010 du 10 janvier 2011c. 2.3.2).</w:t>
      </w:r>
    </w:p>
    <w:p>
      <w:r>
        <w:rPr>
          <w:b/>
        </w:rPr>
        <w:t>E. 2.2</w:t>
      </w:r>
    </w:p>
    <w:p>
      <w:r>
        <w:t>En l'espèce, il est constant que les dispositions testamentaires de la défunte sont claires et succinctes et permettent une interprétation provisoire aisée. Il est de même constant qu’hormis la recourante, tous les héritiers potentiels ont renoncé à la succession. En particulier, les héritiers institués ainsi que le frère de la défunte et de la recourante ont renoncé à la succession. Ce dernier a d’ailleurs rappelé à la Cour durant la présente procédure l’avoir fait antérieurement, avoir accepté les dispositions testamentaires de sa défunte sœur et renoncer à tous ses droits dans la succession de celle-ci au profit de sa sœur recourante. Il en découle que l’interprétation provisoire des volontés, confortée par les faits rappelés postérieurement, de la notaire en charge de la succession dans le cadre du premier certificat d’héritier proposé à la Justice de paix pour homologation était correcte et conforme à l’art. 572 al.2 i.f.CC. Par conséquent, la décision querellée sera annulée et la cause renvoyée à la Justice de paix pour homologation du premier certificat d’héritier dressé le 24 janvier 2025 par la notaire en charge de la succession et constatant que la recourante est seule héritière de sa sœur défunte et seule envoyée en possession de la succession.</w:t>
      </w:r>
    </w:p>
    <w:p>
      <w:r>
        <w:t>- 6/7 -</w:t>
      </w:r>
    </w:p>
    <w:p>
      <w:r>
        <w:t>Erreur ! Source du renvoi introuvable.</w:t>
      </w:r>
    </w:p>
    <w:p>
      <w:r>
        <w:rPr>
          <w:b/>
        </w:rPr>
        <w:t>E. 3</w:t>
      </w:r>
    </w:p>
    <w:p>
      <w:r>
        <w:t>Les frais judiciaires de recours sont laissés à la charge de l'Etat, vu l'issue de la procédure. Les Services financiers du Pouvoir judiciaire seront invités à restituer à la recourante l'avance de frais versée. * * * * *</w:t>
      </w:r>
    </w:p>
    <w:p>
      <w:r>
        <w:t>- 7/7 -</w:t>
      </w:r>
    </w:p>
    <w:p>
      <w:r>
        <w:t>Erreur ! Source du renvoi introuvable. PAR CES MOTIFS, La Chambre civile : A la forme : Déclare recevable le recours formé le 11 juillet 2025 par A______ à l'encontre de la décision DJP/669/2025 rendue le 25 juin 2025 par la Justice de paix dans la cause C/16899/2024. Au fond : L'admet et annule la décision attaquée. Renvoie la cause à la Justice de paix pour nouvelle décision dans le sens des considérants. Déboute les parties de toutes autres conclusions. Sur les frais : Laisse les frais judiciaires de recours à la charge de l'Etat de Genève. Invite les Services financiers du Pouvoir judiciaire à restituer à A______, la somme de 500 fr. versés à titre d'avance de frais. Siégeant : Madame Jocelyne DEVILLE-CHAVANNE, présidente; Monsieur Cédric-Laurent MICHEL et Madame Paola CAMPOMAGNANI, juges; Madame Jessica QUINODOZ,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