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DAS/243/2016 vom 21. Juli 2016</w:t>
      </w:r>
    </w:p>
    <w:p>
      <w:r>
        <w:t>GE Cour de justice, 2016-07-21, FR</w:t>
      </w:r>
    </w:p>
    <w:p>
      <w:r>
        <w:rPr>
          <w:b/>
        </w:rPr>
        <w:t xml:space="preserve">Quelle: </w:t>
      </w:r>
      <w:r>
        <w:t>https://mcp.opencaselaw.ch/entscheid/ge_gerichte_DAS_243_2016</w:t>
      </w:r>
    </w:p>
    <w:p>
      <w:r>
        <w:t>FR: GE_GERICHTE DAS/243/2016 du 21 juillet 2016</w:t>
      </w:r>
    </w:p>
    <w:p>
      <w:r>
        <w:t>IT: GE_GERICHTE DAS/243/2016 del 21 luglio 2016</w:t>
      </w:r>
    </w:p>
    <w:p>
      <w:pPr>
        <w:pStyle w:val="Heading2"/>
      </w:pPr>
      <w:r>
        <w:t>Erwägungen</w:t>
      </w:r>
    </w:p>
    <w:p>
      <w:r>
        <w:rPr>
          <w:b/>
        </w:rPr>
        <w:t>E. 1</w:t>
      </w:r>
    </w:p>
    <w:p>
      <w:r>
        <w:t>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w:t>
      </w:r>
    </w:p>
    <w:p>
      <w:r>
        <w:t>- 4/7 -</w:t>
      </w:r>
    </w:p>
    <w:p>
      <w:r>
        <w:t>C/18628/2015-CS</w:t>
      </w:r>
    </w:p>
    <w:p>
      <w:r>
        <w:t>En l'espèce, la cause est de nature pécuniaire et la valeur litigieuse est supérieure à 10'000 fr.</w:t>
      </w:r>
    </w:p>
    <w:p>
      <w:r>
        <w:t>Déposé dans les forme et délai prévus par la loi, le recours est recevable.</w:t>
      </w:r>
    </w:p>
    <w:p>
      <w:r>
        <w:rPr>
          <w:b/>
        </w:rPr>
        <w:t>E. 2.1</w:t>
      </w:r>
    </w:p>
    <w:p>
      <w:r>
        <w:t>Selon l'art. 519 al. 1 CC, les dispositions pour cause de mort peuvent être annulées : lorsqu'elles sont faites par une personne incapable de discernement au moment de l'acte; lorsqu'elles ne sont pas l'expression d'une volonté libre; lorsqu'elles sont illicites ou contraires aux mœurs, soit par elle-même, soit par les conditions dont elles sont grevées. L'alinéa 2 de cette disposition stipule que l'action peut être intentée par tout héritier ou légataire intéressé. Selon l'art. 521 al. 1 CC, l'action se prescrit par un an à compter du jour où le demandeur a eu connaissance de la disposition et de la cause de nullité (…).</w:t>
      </w:r>
    </w:p>
    <w:p>
      <w:r>
        <w:t>Aux termes de l'art. 522 al. 1 CC, les héritiers qui ne reçoivent pas le montant de leur réserve ont l'action en réduction jusqu'à due concurrence contre les libéralités qui excèdent la quotité disponible.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(art. 533 al. 1 CC).</w:t>
      </w:r>
    </w:p>
    <w:p>
      <w:r>
        <w:rPr>
          <w:b/>
        </w:rPr>
        <w:t>E. 2.2</w:t>
      </w:r>
    </w:p>
    <w:p>
      <w:r>
        <w:t>Dans le cas d'espèce, la recourante a eu connaissance du testament de F______ stipulant son exhérédation en date du 18 septembre 2015. Le délai à sa disposition pour introduire l'action en nullité (art. 519 et ss CC) ou/et l'action en réduction (art. 522 et ss CC) arrivait à échéance le 19 septembre 2016. Par conséquent, la recourante n'était pas forclose au moment où l'ordonnance du 22 juin 2016 de la Justice de paix a été rendue, ce que ce cette juridiction a reconnu en statuant à nouveau le 12 juillet 2016 par l'ordonnance présentement querellée annulant et remplaçant celle du 22 juin 2016, précisément. En tant que le recours se fonde sur les dispositions précitées pour attaquer la seconde décision rendue par la Justice de paix, ces griefs sont infondés.</w:t>
      </w:r>
    </w:p>
    <w:p>
      <w:r>
        <w:rPr>
          <w:b/>
        </w:rPr>
        <w:t>E. 3</w:t>
      </w:r>
    </w:p>
    <w:p>
      <w:r>
        <w:t>Au sens de l'art. 554 al. 1 CC, l'autorité ordonne l'administration d'office de la succession dans quatre cas prévus par la loi. La prise de cette mesure est l'une des mesures de sûretés prévue par les art. 551 et ss du Code civil. Selon l'art. 551 al. 1 CC, l'autorité compétente est tenue de prendre d'office les mesures nécessaires pour assurer la dévolution de l'hérédité. Dans le cas présent, la Justice de paix a ordonné l'administration d'office de la succession de F______ par ordonnance du 28 octobre 2015, désignant E______, avocat, aux fonctions d'administrateur d'office. Ce faisant, elle lui a confié la mission conforme à la loi de ne procéder qu'aux actes administratifs et conservatoires qui seront nécessaires et de procéder seul aux paiements</w:t>
      </w:r>
    </w:p>
    <w:p>
      <w:r>
        <w:t>- 5/7 -</w:t>
      </w:r>
    </w:p>
    <w:p>
      <w:r>
        <w:t>C/18628/2015-CS étroitement liés à la gestion courante de la succession, à l'exception de tout autre acte de disposition, qui ne pourra s'effectuer qu'avec l'accord préalable de la Justice de paix. L'administrateur d'office devait également dresser un état des actifs et passifs de la succession et dresser l'inventaire des biens de la défunte.</w:t>
      </w:r>
    </w:p>
    <w:p>
      <w:r>
        <w:rPr>
          <w:b/>
        </w:rPr>
        <w:t>E. 4.1</w:t>
      </w:r>
    </w:p>
    <w:p>
      <w:r>
        <w:t>L'administration d'office de la succession (art. 554 et 555 CC) est une mesure de sûretés (art. 551 et ss CC) ayant pour but la conservation des biens successoraux (arrêt du Tribunal fédéral 5P.322/2004 consid. 3.2; ATF 54 II 197 consid. 1). D'une manière générale, l'administrateur selon l'art. 554 CC ne peut, à la différence de celui de l'art. 595 CC, procéder à aucune mesure de liquidation. Son rôle consiste essentiellement à veiller à la conservation des biens de la masse successorale. Il doit cependant établir l'inventaire prévu à l'art. 595 al. 2 CC, ce qui peut l'obliger à user de procédés judiciaires s'ils sont nécessaires pour établir convenablement l'état de la succession (ATF 79 II 113 consid. 4 in JT 1954 I p. 5, 9). L'administration officielle au sens de l'art. 554 CC consiste dans la gestion conservatoire de la succession en paralysant le droit du ou des héritiers d'administrer la succession et d'en disposer (PIOTET, Traité de droit privé suisse, Droit successoral, 1975, p. 627). Le premier devoir de l'administrateur officiel est celui d'inventorier les biens successoraux (PIOTET, op. cit., p. 629). Le but de l'administration d'office est la sauvegarde et la conservation de l'objet et de la valeur de la succession, l'administrateur d'office ne pouvant qu'exceptionnellement effectuer des actes de disposition, par exemple en cas de menace d'une diminution rapide de la valeur d'un bien de la succession (EMMEL, Erbrecht Praxiskommentar, 2015, ad art. 554 n. 2 et les arrêts cités).</w:t>
      </w:r>
    </w:p>
    <w:p>
      <w:r>
        <w:rPr>
          <w:b/>
        </w:rPr>
        <w:t>E. 4.2</w:t>
      </w:r>
    </w:p>
    <w:p>
      <w:r>
        <w:t>Dans le cas d'espèce, la décision de la Justice de paix d'autoriser l'administrateur d'office à procéder à une avance d'hoirie en faveur de l'un des héritiers va à l'encontre de ces principes. D'une part, il n'appartient pas à l'administrateur d'office de procéder ou d'anticiper la liquidation de la succession. D'autre part, il ressort du dossier qu'aucun inventaire n'a encore été dressé par l'administrateur d'office de la succession ouverte désigné par la Justice de paix. Dans cette mesure, il n'y a pas place pour l'autorisation de procéder à une avance d'hoirie en faveur de l'un des héritiers.</w:t>
      </w:r>
    </w:p>
    <w:p>
      <w:r>
        <w:t>Par conséquent, la décision doit être annulée.</w:t>
      </w:r>
    </w:p>
    <w:p>
      <w:r>
        <w:rPr>
          <w:b/>
        </w:rPr>
        <w:t>E. 5</w:t>
      </w:r>
    </w:p>
    <w:p>
      <w:r>
        <w:t>Un émolument à hauteur de 500 fr. (art. 26 et 35 RTFMC) sera mis à la charge de B______, dans la mesure où il a conclu au rejet du recours et succombe, compensé avec l'avance de frais qui reste acquise à l'Etat. B______ sera en conséquence condamné à verser ce montant à A______ qui en a fait l'avance.</w:t>
      </w:r>
    </w:p>
    <w:p>
      <w:r>
        <w:t>Dans la mesure où il n'a pas pris de conclusions, il ne sera pas mis de frais à charge de C______.</w:t>
      </w:r>
    </w:p>
    <w:p>
      <w:r>
        <w:t>- 6/7 -</w:t>
      </w:r>
    </w:p>
    <w:p>
      <w:r>
        <w:t>C/18628/2015-CS</w:t>
      </w:r>
    </w:p>
    <w:p>
      <w:r>
        <w:t>B______ supportera en outre des dépens en faveur de A______ à hauteur de 1'500 fr. (art. 106 al. 1 CPC; 23 al. 1 LaCC). * * * * *</w:t>
      </w:r>
    </w:p>
    <w:p>
      <w:r>
        <w:t>- 7/7 -</w:t>
      </w:r>
    </w:p>
    <w:p>
      <w:r>
        <w:t>C/18628/2015-CS PAR CES MOTIFS, La Chambre civile : A la forme : Déclare recevable le recours déposé le 21 juillet 2016 par A______ contre la décision DJP/321/2016 rendue le 12 juillet 2016 par la Justice de paix dans la cause C/18628/2015. Au fond : L'admet et annule la décision attaquée. Sur les frais : Arrête les frais à 500 fr. les met à la charge de B______ et les compense en totalité avec l'avance de frais d'ores et déjà versée qui reste acquise à l'Etat de Genève. Condamne en conséquence B______ à payer à A______ la somme de 500 fr. à ce titre. Condamne en outre B______ au paiement à A______ de dépens à hauteur de 1'500 fr. Siégeant : Monsieur Cédric-Laurent MICHEL, président; Mesdames Paola CAMPOMAGNANI et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