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DAS/241/2024 vom 10. Juli 2019</w:t>
      </w:r>
    </w:p>
    <w:p>
      <w:r>
        <w:t>GE Cour de justice, 2019-07-10, FR</w:t>
      </w:r>
    </w:p>
    <w:p>
      <w:r>
        <w:rPr>
          <w:b/>
        </w:rPr>
        <w:t xml:space="preserve">Quelle: </w:t>
      </w:r>
      <w:r>
        <w:t>https://mcp.opencaselaw.ch/entscheid/ge_gerichte_DAS_241_2024</w:t>
      </w:r>
    </w:p>
    <w:p>
      <w:r>
        <w:t>FR: GE_GERICHTE DAS/241/2024 du 10 juillet 2019</w:t>
      </w:r>
    </w:p>
    <w:p>
      <w:r>
        <w:t>IT: GE_GERICHTE DAS/241/2024 del 10 luglio 2019</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w:t>
      </w:r>
    </w:p>
    <w:p>
      <w:r>
        <w:rPr>
          <w:b/>
        </w:rPr>
        <w:t>E. 1.2</w:t>
      </w:r>
    </w:p>
    <w:p>
      <w:r>
        <w:t>La pièce nouvellement déposée devant la Chambre de céans par la recourante est recevable, dans la mesure où l’art. 53 LaCC, qui régit de manière exhaustive les actes accomplis par les parties en seconde instance, à l’exclusion du CPC, ne prévoit aucune restriction en cette matière.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- 10/13 -</w:t>
      </w:r>
    </w:p>
    <w:p>
      <w:r>
        <w:t>C/12006/2019-CS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rPr>
          <w:b/>
        </w:rPr>
        <w:t>E. 2.2</w:t>
      </w:r>
    </w:p>
    <w:p>
      <w:r>
        <w:t>La recourante sollicite un droit de visite de quatre heures par semaine sur chacun de ses enfants I______ et H______. Elle ne conteste pas, à l’appui de son recours - sauf à indiquer de manière toute générale que la suspension de tout droit de visite serait injustifiée -, la motivation du Tribunal de protection, lequel a exposé clairement les raisons conduisant, en l’état, à la suspension de toutes relations personnelles entre les parents et leurs enfants, ni ne remet en question le résultat de l’expertise et les préconisations des experts concernant les relations personnelles qui devraient être mises en place à terme dans l’intérêt des mineurs, de sorte que sa conclusion, soutenue pourtant pas un conseil expérimenté, apparaît totalement déconnectée de la réalité du dossier. Le recours, pour autant qu’il soit suffisamment motivé, doit, de toute façon, être rejeté. En effet, les experts ont préconisé, compte tenu des pathologies importantes dont souffraient les deux parents, qui devaient entreprendre un suivi psychiatrique et psychothérapeutique de longue durée, qu'un droit de visite médiatisé, supervisé par un thérapeute expérimenté, soit mis en place, pour autant que les parents l'acceptent, à défaut de quoi les relations personnelles entre les mineurs et leurs parents devaient demeurer suspendues. Le droit de visite exercé depuis peu par l'entremise de T______ sur I______, uniquement accompagné par un éducateur, n'était, selon eux, pas suffisamment protecteur au regard des pathologies et du comportement des parents, de même que celui proposé par le SPMi pour H______ en Point rencontre. Selon les experts, des contacts téléphoniques entre les mineurs et leurs parents pouvaient toutefois avoir lieu, sous contrôle d’un éducateur.</w:t>
      </w:r>
    </w:p>
    <w:p>
      <w:r>
        <w:t>- 11/13 -</w:t>
      </w:r>
    </w:p>
    <w:p>
      <w:r>
        <w:t>C/12006/2019-CS Constatant que les visites mises récemment et provisoirement en place par le SPMi concernant le mineur I______ ne le protégeaient pas suffisamment, c’est à juste titre que le Tribunal de protection les a suspendues, sur mesures provisionnelles, chargeant cependant le SPMi d’un préavis concernant la reprise de relations personnelles, tenant compte des préconisations des experts, pour les deux mineurs, les relations personnelles concernant H______ demeurant également suspendues en l’état. Face au constat de l’échec des entretiens téléphoniques mis en place pour H______, lequel n’investissait pas ces moments, qui dégénéraient compte tenu de l’attitude des parents, essentiellement de la mère, laquelle insultait les intervenants, c’est également à raison que le Tribunal de protection a suspendu, sur mesures provisionnelles, ce type de relations personnelles. Si certes, la recourante semble avoir mis partiellement à profit les conseils des experts, en débutant une psychothérapie intensive, à raison de trois séances par semaine, le temps qui s’est écoulé depuis le début de celle-ci (vraisemblablement mise en place dans le courant du premier trimestre 2024) ne permet pas de passer outre les préconisations des experts proposant, dans un premier temps, une reprise médiatisée des relations personnelles supervisée par un psychothérapeute expérimenté. Le document produit par la recourante, non entièrement rempli, non daté et non signé, ne fait état que de sa situation personnelle et ne se prononce aucunement sur sa capacité à prendre en charge les mineurs, ne serait-ce que durant le temps d’un droit de visite. Le psychothérapeute ne semble, par ailleurs, pas renseigné sur la tenue et le contenu de l’expertise réalisée, ce qui serait pourtant le gage d’une bonne orientation thérapeutique. Si certes, comme le relève la recourante, son psychothérapeute précise qu’elle parvient désormais à parler calmement et à réfléchir au sujet qu’elle souhaite aborder, il indique également qu’il lui arrive de parler abondamment face à ce qu’elle ressent comme des injustices, son seuil de tolérance étant très bas, de sorte que les problèmes psychiques dont elle souffre ne semblent pas suffisamment résolus pour permettre un droit de visite libre, comme elle le souhaite. Au surplus, la recourante semble occulter le fait que les experts ont préconisé qu’elle entreprenne un suivi psychiatrique, compte tenu de ses importantes pathologies, qu’elle ne paraît pas avoir mis en place, puisqu'elle ne voit qu'un psychologue. De même, la recourante ne saurait tirer argument du fait qu’elle bénéficie désormais d’un droit de visite sur ses fils aînés. D’une part, elle ne précise pas les modalités de ce droit de visite, et, d’autre part, l’âge et l’état de santé des mineurs sont différents. Il appartient ainsi à la recourante - qui ne peut qu’être encouragée - à poursuivre son suivi psychothérapeutique auprès de son psychologue, ainsi qu'à entreprendre un suivi psychiatrique, et à tenir informés les curateurs des mineurs afin qu'ils puissent s'assurer de ses progrès, et préaviser en temps opportun, en tenant compte</w:t>
      </w:r>
    </w:p>
    <w:p>
      <w:r>
        <w:t>- 12/13 -</w:t>
      </w:r>
    </w:p>
    <w:p>
      <w:r>
        <w:t>C/12006/2019-CS des préconisations des experts, la mise en place d’un droit de visite entre elle et ses fils H______ et I______. La recourante doit, en effet, démontrer qu’elle est suffisamment stable et prête à collaborer avec les intervenants entourant ses fils, de même qu'elle accepte le droit de visite médiatisé par un psychothérapeute (condition nécessaire selon les experts), avant d'envisager de réintroduire des relations personnelles entre elle et ses fils. Elle a, en effet, par le passé déjà mis en échec la reprise des relations personnelles avec O______, qui refuse dorénavant de la recevoir, compte tenu de son comportement à l'égard des intervenants de sa structure. Les lieux possibles de reprise d'un droit de visite supervisé par un thérapeute expérimenté n'étant pas nombreux à Genève, il est important de s'assurer que la recourante soit capable de collaborer dans ce contexte, sans insulter les intervenants entourant les mineurs, avant qu'une reprise des liens puisse être envisagée. Une reprise prématurée serait contraire à l'intérêt des mineurs, qui seraient confrontés aux comportements irascibles de leur mère. Dans cette attente, le droit de visite sur les mineurs doit demeurer suspendu. Le chiffre 4 du dispositif de l'ordonnance sera confirmé et la recourante sera déboutée de toutes ses conclusions.</w:t>
      </w:r>
    </w:p>
    <w:p>
      <w:r>
        <w:rPr>
          <w:b/>
        </w:rPr>
        <w:t>E. 3</w:t>
      </w:r>
    </w:p>
    <w:p>
      <w:r>
        <w:t>La procédure est gratuite s'agissant de mesures de protection de mineurs (art. 81 al. 1 LaCC). Il n'est pas alloué de dépens. * * * * *</w:t>
      </w:r>
    </w:p>
    <w:p>
      <w:r>
        <w:t>- 13/13 -</w:t>
      </w:r>
    </w:p>
    <w:p>
      <w:r>
        <w:t>C/12006/2019-CS PAR CES MOTIFS, La Chambre de surveillance :</w:t>
      </w:r>
    </w:p>
    <w:p>
      <w:r>
        <w:t>A la forme : Déclare recevable le recours formé le 21 mai 2024 par A______ contre l'ordonnance DTAE/3071/2024 rendue par le Tribunal de protection de l'adulte et de l'enfant le 18 mars 2024 dans la cause C/12006/2019. Au fond : Le rejette. Déboute A______ de toutes ses conclusions. Sur les frais : Dit que la procédure est gratuite et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