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DAS/240/2011 vom 28. Mai 2004</w:t>
      </w:r>
    </w:p>
    <w:p>
      <w:r>
        <w:t>GE Cour de justice, 2004-05-28, FR</w:t>
      </w:r>
    </w:p>
    <w:p>
      <w:r>
        <w:rPr>
          <w:b/>
        </w:rPr>
        <w:t xml:space="preserve">Quelle: </w:t>
      </w:r>
      <w:r>
        <w:t>https://mcp.opencaselaw.ch/entscheid/ge_gerichte_DAS_240_2011</w:t>
      </w:r>
    </w:p>
    <w:p>
      <w:r>
        <w:t>FR: GE_GERICHTE DAS/240/2011 du 28 mai 2004</w:t>
      </w:r>
    </w:p>
    <w:p>
      <w:r>
        <w:t>IT: GE_GERICHTE DAS/240/2011 del 28 maggio 2004</w:t>
      </w:r>
    </w:p>
    <w:p>
      <w:pPr>
        <w:pStyle w:val="Heading2"/>
      </w:pPr>
      <w:r>
        <w:t>Erwägungen</w:t>
      </w:r>
    </w:p>
    <w:p>
      <w:r>
        <w:rPr>
          <w:b/>
        </w:rPr>
        <w:t>E. 1</w:t>
      </w:r>
    </w:p>
    <w:p>
      <w:r>
        <w:t>Selon l’art. 328 al. 1 CPC applicable à la présente procédure (art. 405 al. 2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ou moyens de preuve postérieurs à la décision (let. a). Une révision est également recevable lorsqu’une procédure pénale établit que la décision a été influencée au préjudice du requérant par un crime ou un délit, même si aucune condamnation n’est intervenue; si l’action pénale n’est pas possible, la preuve peut être administrée d’une autre manière (let. b). Le délai pour demander la révision est de 90 jours à compter de celui où le motif de révision est découvert; la demande est écrite et motivée (art. 329 al. 1 CPC).</w:t>
      </w:r>
    </w:p>
    <w:p>
      <w:r>
        <w:t>- 4/9 -</w:t>
      </w:r>
    </w:p>
    <w:p>
      <w:r>
        <w:t>Erreur ! Source du renvoi introuvable.-CS</w:t>
      </w:r>
    </w:p>
    <w:p>
      <w:r>
        <w:rPr>
          <w:b/>
        </w:rPr>
        <w:t>E. 2.1</w:t>
      </w:r>
    </w:p>
    <w:p>
      <w:r>
        <w:t>A l’appui de son action, la demanderesse invoque cinq éléments de fait qui, selon elle, auraient faussé toute la procédure d’interdiction (p. 39). Il s’agit des pièces suivantes (p. 35) : - courrier du Procureur général B______ du 8 février 2001 ; - note de la Subsitute G______ du 13 février 2001 ; - rapport de police de P______ du 23 novembre 2001 ;</w:t>
      </w:r>
    </w:p>
    <w:p>
      <w:r>
        <w:t>- rapport de police de R______ du 8 décembre 2001 ;</w:t>
      </w:r>
    </w:p>
    <w:p>
      <w:r>
        <w:t>- décision du Procureur général du 14 décembre 2001. La demanderesse indique avoir découvert tous ces documents le 22 septembre 2006, lors d’une consultation de ses dossiers auprès du Procureur général. Elle n’en a, selon ses dires, pas obtenu copie à cette époque. En revanche, elle a établi des notes manuscrites, dactylographiées ultérieurement et contenues à la pièce 1017bis du chargé de sa présente demande en révision.</w:t>
      </w:r>
    </w:p>
    <w:p>
      <w:r>
        <w:rPr>
          <w:b/>
        </w:rPr>
        <w:t>E. 2.2</w:t>
      </w:r>
    </w:p>
    <w:p>
      <w:r>
        <w:t>La pièce 1017bis précitée précise ainsi que le courrier du Procureur général du 8 février 2001 répondait à une interpellation du Conseil supérieur de la magistrature et contenait le passage suivant : « Je considère que celui-ci (le greffe du Parquet) a agi de manière appropriée avec cette quérulente ». Dans la même pièce, la note de la Substitute G______ du 13 février 2001 est retranscrite de la manière suivante : « Madame D______, plaignante quérulente, s’est présentée à réitérées reprises au greffe pour consulter les nombreuses procédures qui la concernent… ». Quant à la décision du Procureur général du 14 décembre 2001, elle répondait à un courrier du Chef de la police du 12 décembre 2001 demandant à « être dispensé à l’avenir de traiter les « plaintes » déposées par Madame D______ ». Cette décision contenait ainsi, toujours selon les notes manuscrites de l’intéressée, le passage suivant : « Je classe la cause, dès lors que cette plainte est dépourvue de tout fondement. Mme D______ inonde également le parquet de plaintes successives infondées. Elles ne sont plus traitées. Vos services sont autorisés à en faire de même… ».</w:t>
      </w:r>
    </w:p>
    <w:p>
      <w:r>
        <w:rPr>
          <w:b/>
        </w:rPr>
        <w:t>E. 2.3</w:t>
      </w:r>
    </w:p>
    <w:p>
      <w:r>
        <w:t>La demanderesse en révision affirme avoir reçu copie des deux rapports de police de novembre et décembre 2001 le 30 novembre 2010 en l’Etude du conseil qu’elle avait mandaté pour la levée de la mesure d’interdiction. En rapport avec ces pièces, la demanderesse prétend que les auteurs de ces documents ont commis des infractions pénales : elle vise notamment les art. 173 ss et 305, 306 et 307 CP (p. 48-49). A teneur du dossier, aucune procédure pénale n’a été ouverte de ces chefs.</w:t>
      </w:r>
    </w:p>
    <w:p>
      <w:r>
        <w:rPr>
          <w:b/>
        </w:rPr>
        <w:t>E. 3</w:t>
      </w:r>
    </w:p>
    <w:p>
      <w:r>
        <w:t>Avant d’aborder la question du bien-fondé de la demande de révision, il convient d’examiner si la demanderesse a respecté le délai de 90 jours fixé à l’art. 329 al. 1 CPC.</w:t>
      </w:r>
    </w:p>
    <w:p>
      <w:r>
        <w:t>- 5/9 -</w:t>
      </w:r>
    </w:p>
    <w:p>
      <w:r>
        <w:t>Erreur ! Source du renvoi introuvable.-CS Le délai de 90 jours prévu par cette disposition commence à courir dès que le requérant a une connaissance certaine du fait nouveau sur lequel il fonde sa demande. Cette connaissance doit être suffisamment sûre; des suppositions ou de simples bruits ne font pas courir le délai (ATF 95 II 283 consid. 2b). Lorsque le demandeur a connaissance de preuves, sans être en mesure de produire celles-ci, il doit s’en prévaloir en exposant ce qu’il entend démontrer par cet élément nouvellement découvert (CPC-SCHWEIZER, n. 6 ad art. 329). A cet égard, il appartient au demandeur d’établir qu’aucune négligence ne lui est imputable dans la découverte - par hypothèse tardive - des faits invoqués; il doit donc démontrer qu’un plaideur diligent n’aurait pas raisonnablement pu avoir une connaissance sûre de l’élément nouvellement découvert avant la date qu’il invoque lui-même (CPC-SCHWEIZER, n. 12 ad art. 329). En l’espèce, la demanderesse admet avoir consulté ses dossiers auprès du Ministère public le 22 septembre 2006. A cette occasion, elle a pris connaissance de toutes les pièces qu’elle invoque aujourd’hui à l’appui de sa demande de révision. Elle n’a certes pas été - selon ses dires - autorisée à lever copie de ces documents. En revanche, elle a pu en retranscrire le contenu, à tout le moins pour les passages qu’elle considère comme étant déterminants. De cette manière, elle en a acquis une connaissance suffisamment certaine, de sorte qu’un plaideur diligent aurait alors été en mesure - même sans produire les documents eux- mêmes - d’adresser à l’autorité compétente une requête en révision en expliquant en quoi ces documents étaient susceptibles d’être déterminants pour une telle action. Il apparaît ainsi que, en déposant la présente requête le 23 février 2011, le délai de 90 jours prévu par l’art. 329 al. 1 CPC est largement expiré. L’irrecevabilité de la présente demande pour tardiveté ne porte cependant pas préjudice à la demanderesse au vu des considérants qui suivent.</w:t>
      </w:r>
    </w:p>
    <w:p>
      <w:r>
        <w:rPr>
          <w:b/>
        </w:rPr>
        <w:t>E. 4</w:t>
      </w:r>
    </w:p>
    <w:p>
      <w:r>
        <w:t>Il faut en effet déterminer si les motifs invoqués par la demanderesse fondent une demande en révision.</w:t>
      </w:r>
    </w:p>
    <w:p>
      <w:r>
        <w:rPr>
          <w:b/>
        </w:rPr>
        <w:t>E. 4.1</w:t>
      </w:r>
    </w:p>
    <w:p>
      <w:r>
        <w:t>Selon la jurisprudence relative à l’art. 123 al. 2 let a LTF, dont le contenu est semblable à celui de l’art. 328 al. 1 let. a CPC, les faits invoqués à l’appui d’une demande en révision doivent être pertinents, à savoir de nature à modifier l'état de fait qui est à la base de la décision attaquée et à aboutir à un jugement différent en fonction d'une appréciation juridique correcte (ATF 134 III 669 consid. 2.2). Le demandeur doit ainsi démontrer que les éléments nouveaux - s’ils avaient été connus de l’autorité en son temps - auraient été de nature à conduire à un résultat différent de celui adopté alors (CPC-SCHWEIZER, n. 27 ad art. 328). En ce qui concerne l’art. 328 al. 1 let. b CPC, il appartient au demandeur de démontrer que le comportement pénal répréhensible, démontré par une</w:t>
      </w:r>
    </w:p>
    <w:p>
      <w:r>
        <w:t>- 6/9 -</w:t>
      </w:r>
    </w:p>
    <w:p>
      <w:r>
        <w:t>Erreur ! Source du renvoi introuvable.-CS procédure pénale, était de nature à conduire l’autorité en charge du dossier à prendre une décision différente de celle adoptée (CPC-SCHWEIZER, n. 31 ad art. 328). En principe, l’infraction doit résulter d’une condamnation pénale, ou au moins d’une instruction qui établit sa commission. Ainsi, en cas de classement sans suite, de non-lieu ou d’acquittement, il n’y pas lieu à révision. En revanche, si l’absence de condamnation est due à l’extinction de l’action pénale (décès de l’auteur ou prescription) ou à l’incapacité totale de discernement de l’auteur, la preuve de l’existence d’une infraction pénale susceptible d’influer sur le jugement dont la révision est demandée peut être apportée d’une autre manière (CPC-SCHWEIZER, n. 34 et 36 ad art. 328).</w:t>
      </w:r>
    </w:p>
    <w:p>
      <w:r>
        <w:rPr>
          <w:b/>
        </w:rPr>
        <w:t>E. 4.2</w:t>
      </w:r>
    </w:p>
    <w:p>
      <w:r>
        <w:t>S’agissant des infractions pénales visées par la demanderesse, force est de constater que celles-ci n’ont donné lieu à aucune condamnation. A teneur du dossier, aucune procédure n’a été ouverte. Si classement il devait y avoir eu, celui-ci ne serait de toute manière pas dû à l’extinction de l’action pénale en raison du décès des auteurs présumés ou de leur incapacité totale de discernement au moment des faits. Dans ces conditions, la voie de l’art. 328 al. 1 let. b CPC n’est pas ouverte. Au surplus, pour les motifs qui vont suivre (consid. 4.3), la réalisation de telles infractions - pour autant qu’on puisse envisager leur réalisation - n’auraient pas été de nature à influencer la décision d’interdiction prise contre la demanderesse en 2004.</w:t>
      </w:r>
    </w:p>
    <w:p>
      <w:r>
        <w:rPr>
          <w:b/>
        </w:rPr>
        <w:t>E. 4.3</w:t>
      </w:r>
    </w:p>
    <w:p>
      <w:r>
        <w:t>En ce qui concerne les pièces produites à l’appui de la demande de révision, il convient de retenir d’abord les éléments suivants. La demanderesse fait état d’un courrier du Procureur général du 8 février 2001 au Conseil supérieur de la magistrature lui reprochant - à tort selon elle - sa « quérulence » alors qu’elle faisait l’objet de plusieurs agressions (p. 8, 15 et 45). Elle cite également une note de la Substitute G______ du 13 février 2001 la qualifiant - également à tort selon elle - de « quérulente » (p. 8, 14 et 45). Elle mentionne enfin un autre courrier du Procureur général du 12 décembre 2001, dispensant désormais la police de traiter ses plaintes au motif que celles-ci étaient « infondées » et qu’elle en « inonderait » le Parquet (p. 18). Pour sa part, le rapport de police du 23 novembre 2001 énonce à l’encontre de la demanderesse un « comportement irrationnel », des « problèmes relationnels et existentiels avec ses semblables » et indique que « les termes employés (persécution et schizophrénie) sont à l’image comportementale et psychologique de Mme D______ ». Quant au rapport du 8 décembre 2001, il se conclut de la manière suivante : « A la lecture des différentes lettres, il semblerait que Mme D______ souffre de schizophrénie. Un suivi médical approprié devrait lui être conseillé avant que son état psychique ne s’aggrave. Nous pensons qu’elle a</w:t>
      </w:r>
    </w:p>
    <w:p>
      <w:r>
        <w:t>- 7/9 -</w:t>
      </w:r>
    </w:p>
    <w:p>
      <w:r>
        <w:t>Erreur ! Source du renvoi introuvable.-CS plus besoin d’une aide psychologique et cette aide ne peut lui être imposée que par l’autorité compétente ». Ces documents qui remontent tous à l’année 2001 ont - éventuellement - été susceptibles d’avoir une légère influence sur l’ouverture, le 24 juillet 2001, de la procédure d’interdiction. Celle-ci s’est cependant déroulée sur plusieurs années, au cours desquelles l’autorité tutélaire a entendu l’intéressée, a procédé à des enquêtes et a ordonné une expertise judiciaire. Cette procédure s’est terminée par l’interdiction prononcée par le Tribunal tutélaire le 28 mai 2004 et confirmée par la Cour de céans le 8 octobre 2004. A lire les décisions de justice, cette mesure se fonde principalement sur le rapport d’expertise judiciaire - confirmé par l’audition de l’expert -, l’audition de l’intéressée et l’appréciation des témoignages à laquelle a procédé l’autorité judiciaire. La Cour de céans, dans son arrêt du 8 octobre 2004, a encore spécifiquement fait référence à de nombreux écrits de l’intéressée. Ces éléments, que venait corroborer l’expertise judiciaire, ont ainsi amené la Cour de céans à confirmer l’interdiction fondée sur un diagnostic non ambigu de trouble délirant persistant à type de persécution imposant à la personne concernée des soins et des secours permanents. Au vu de ce diagnostic, les éléments invoqués à l’appui de la demande en révision paraissent être sans influence. En d’autres termes, le fait que les autorités judiciaires de 2004 aient eu connaissance des termes - tels que « quérulent », « quérulence », « comportement irrationnel », « persécution et schizophrénie » - employés dans des courriers ou rapports de 2001 de personnes non spécialisées en psychiatrie ne pouvaient rien changer à leur appréciation de la situation juridique de l’époque. Ces termes, dont on ne pouvait faire aucune déduction à portée psychiatrique en raison de l’absence de connaissances de leurs auteurs sur ce sujet, constituaient dès lors des éléments purement accessoires et dont les autorités judiciaires de 2004 n’ont pas eu à tenir compte dans leur analyse de la situation de l’époque pour parvenir à la décision d’interdire la demanderesse. Pour le surplus, la demanderesse en révision critique, tout au long de ses écritures, le déroulement de la procédure entre 2001 et 2004, invoquant en particulier la violation de son droit d’être entendue. Un tel grief n’a pas sa place dans une demande en révision, dans la mesure où il pouvait - et devait - être invoqué en son temps dans le cadre d’un appel à la Cour de céans ou d’un recours au Tribunal fédéral. La remise en cause de l’appréciation des preuves par les autorités judiciaires de 2004, comme le fait valoir la demanderesse dans ses écritures, n’a pas non plus lieu d’être dans une demande en révision. Enfin, savoir si la mesure d’interdiction était opportune ou - comme l’affirme la demanderesse - contre-productive est une question qui sort manifestement du cadre d’une demande en révision.</w:t>
      </w:r>
    </w:p>
    <w:p>
      <w:r>
        <w:rPr>
          <w:b/>
        </w:rPr>
        <w:t>E. 4.4</w:t>
      </w:r>
    </w:p>
    <w:p>
      <w:r>
        <w:t>Par conséquent, même formée en temps utile, la demande en révision devrait être rejetée puisque les faits invoqués par la demanderesse n’étaient pas de</w:t>
      </w:r>
    </w:p>
    <w:p>
      <w:r>
        <w:t>- 8/9 -</w:t>
      </w:r>
    </w:p>
    <w:p>
      <w:r>
        <w:t>Erreur ! Source du renvoi introuvable.-CS nature à modifier l’état de fait qui est à la base de la décision attaquée, ni susceptibles de conduire à un résultat différent.</w:t>
      </w:r>
    </w:p>
    <w:p>
      <w:r>
        <w:rPr>
          <w:b/>
        </w:rPr>
        <w:t>E. 5</w:t>
      </w:r>
    </w:p>
    <w:p>
      <w:r>
        <w:t>Un émolument forfaitaire de décision de 1'000 fr. est mis à la charge de la demanderesse (art. 43 RFTMC). * * * * *</w:t>
      </w:r>
    </w:p>
    <w:p>
      <w:r>
        <w:t>- 9/9 -</w:t>
      </w:r>
    </w:p>
    <w:p>
      <w:r>
        <w:t>Erreur ! Source du renvoi introuvable.-CS PAR CES MOTIFS, La Chambre de surveillance : A la forme : Déclare irrecevable la demande en révision déposée par D______ contre les arrêts des 8 octobre 2004 et 27 janvier 2005 de la Cour de justice, l'ordonnance du Tribunal tutélaire du 28 mai 2004 ainsi que toutes les décisions incidentes basées sur l'ordonnance d'interdiction. Au fond : Déboute D______ de toutes autres conclusions. Sur les frais : Arrête les frais judiciaires de la procédure de révision à 1'000 fr. Les mets à la charge de D______. Siégeant : Monsieur François CHAIX, président; Madame Marguerite JACOT-DES-COMBES et Monsieur Jean RUFFIEUX, juges;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