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DAS/23/2017 vom 7. November 2016</w:t>
      </w:r>
    </w:p>
    <w:p>
      <w:r>
        <w:t>GE Cour de justice, 2016-11-07, FR</w:t>
      </w:r>
    </w:p>
    <w:p>
      <w:r>
        <w:rPr>
          <w:b/>
        </w:rPr>
        <w:t xml:space="preserve">Quelle: </w:t>
      </w:r>
      <w:r>
        <w:t>https://mcp.opencaselaw.ch/entscheid/ge_gerichte_DAS_23_2017</w:t>
      </w:r>
    </w:p>
    <w:p>
      <w:r>
        <w:t>FR: GE_GERICHTE DAS/23/2017 du 7 novembre 2016</w:t>
      </w:r>
    </w:p>
    <w:p>
      <w:r>
        <w:t>IT: GE_GERICHTE DAS/23/2017 del 7 novembre 2016</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- 6/10 -</w:t>
      </w:r>
    </w:p>
    <w:p>
      <w:r>
        <w:t>C/1999/2002-CS 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w:t>
      </w:r>
    </w:p>
    <w:p>
      <w:r>
        <w:rPr>
          <w:b/>
        </w:rPr>
        <w:t>E. 1.2</w:t>
      </w:r>
    </w:p>
    <w:p>
      <w:r>
        <w:t>Compte tenu de la matière, soumise aux maximes inquisitoire et d'office illimitées, la cognition de la Chambre de surveillance est complète. La Cour n'est pas liée par les conclusions des parties (art. 446 CC; art. 314 al. 1 et 440 al. 3 CC).</w:t>
      </w:r>
    </w:p>
    <w:p>
      <w:r>
        <w:rPr>
          <w:b/>
        </w:rPr>
        <w:t>E. 2</w:t>
      </w:r>
    </w:p>
    <w:p>
      <w:r>
        <w:t>La nationalité étrangère des membres de la famille constitue un élément d'extranéité (art. 1 al. 1 LDIP). La compétence des autorités genevoises doit être admise, compte tenu de la résidence habituelle des enfants et de leurs parents à Genève (art. 79 al. 1 LDIP). Le droit suisse est applicable (art. 82 al. 1 LDIP).</w:t>
      </w:r>
    </w:p>
    <w:p>
      <w:r>
        <w:rPr>
          <w:b/>
        </w:rPr>
        <w:t>E. 3</w:t>
      </w:r>
    </w:p>
    <w:p>
      <w:r>
        <w:t>La recourante invoque une violation de son droit d’être entendue, le Tribunal de protection s’étant contenté de ratifier le préavis du Service de protection des mineurs, sans autres développements. Elle fait en outre valoir que le fait "d’autoriser" un refus est difficilement compréhensible.</w:t>
      </w:r>
    </w:p>
    <w:p>
      <w:r>
        <w:rPr>
          <w:b/>
        </w:rPr>
        <w:t>E. 3.1</w:t>
      </w:r>
    </w:p>
    <w:p>
      <w:r>
        <w:t>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138 IV 81 consid. 2.2; 134 I 83 consid. 4.1 et les références; 133 III 439 consid. 3.3 p. 445 et les arrêts cités). En raison de sa nature formelle, la violation de ce droit entraîne en principe l'annulation de la décision.</w:t>
      </w:r>
    </w:p>
    <w:p>
      <w:r>
        <w:rPr>
          <w:b/>
        </w:rPr>
        <w:t>E. 3.2</w:t>
      </w:r>
    </w:p>
    <w:p>
      <w:r>
        <w:t>En l’espèce, la décision du Tribunal de protection est suffisamment motivée, puisqu’elle se rapporte au contenu du rapport du Service de protection des mineurs. Les arguments soulevés dans son recours par A______ démontrent par ailleurs qu’elle a parfaitement saisi la motivation de la décision attaquée. Le grief de violation du droit d'être entendu, soulevé par la recourante est par conséquent infondé.</w:t>
      </w:r>
    </w:p>
    <w:p>
      <w:r>
        <w:rPr>
          <w:b/>
        </w:rPr>
        <w:t>E. 4</w:t>
      </w:r>
    </w:p>
    <w:p>
      <w:r>
        <w:t>L'objet du litige est l'étendue du droit de visite de la mère sur ses cinq plus jeunes enfants, aucun des intervenants ne contestant le fait que la recourante est libre d'organiser ses relations personnelles avec E______, bientôt majeure et avec F______, âgé de seize ans, en accord avec ceux-ci.</w:t>
      </w:r>
    </w:p>
    <w:p>
      <w:r>
        <w:t>- 7/10 -</w:t>
      </w:r>
    </w:p>
    <w:p>
      <w:r>
        <w:t>C/1999/2002-CS 4.1.1 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131 III 209 consid 2 ; 127 III 295 consid. 4a; arrêt du Tribunal fédéral 5A_745/2015 du 15 juin 2016 consid. 3.2.2.2). Dans chaque cas, la décision doit donc être prise de manière à répondre le mieux possible à ses besoins, l'intérêt des parents étant relégué à l'arrière-plan (ATF 130 III 585 consid. 2.2.1 ; 117 II 353 consid. 3 ; arrêt du Tribunal fédéral 5A_745/2015 précité). C'est pourquoi le critère déterminant pour l'octroi, le refus et la fixation des modalités du droit de visite est le bien de l'enfant, et non une éventuelle faute commise par le titulaire du droit (VEZ, le droit de visite- Problèmes récurrents, in Enfant et divorce, 2006, p. 101 ss, 105). Le juge dispose d'un large pouvoir d'appréciation dans la fixation du droit de visite (ATF 122 III 404 consid. 3d = JdT 1998 I 46). 4.1.2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Une limitation des relations personnelles doit respecter le principe de la proportionnalité. Le retrait du droit à des relations personnelles constitue l' 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ou exercé en milieu protégé, le droit de la personnalité du parent non gardien, le principe de la proportionnalité et le sens des relations personnelles interdisent la suppression complète de ce droit (ATF 122 III 404 consid. 3b; arrêt du Tribunal fédéral 5A_745/2015 précité).</w:t>
      </w:r>
    </w:p>
    <w:p>
      <w:r>
        <w:rPr>
          <w:b/>
        </w:rPr>
        <w:t>E. 4.2</w:t>
      </w:r>
    </w:p>
    <w:p>
      <w:r>
        <w:t>En l’espèce, lorsque le Service de protection des mineurs a rendu le rapport sur lequel le Tribunal de protection s’est fondé pour rendre sa décision, les enfants n’étaient pas encore prêts à rencontrer leur mère en dehors du Point rencontre, se sentant toujours déstabilisés par le comportement de cette dernière. Cela étant, six mois se sont écoulés depuis lors, durant lesquels les intervenants du Point rencontre ont constaté que la recourante, suivant leurs conseils, avait</w:t>
      </w:r>
    </w:p>
    <w:p>
      <w:r>
        <w:t>- 8/10 -</w:t>
      </w:r>
    </w:p>
    <w:p>
      <w:r>
        <w:t>C/1999/2002-CS modifié son comportement en adoptant une attitude conforme aux besoins et intérêts de ses enfants. De ce fait, leurs relations se sont améliorées et les visites se déroulent désormais de manière joyeuse pour tous les enfants. Le Point rencontre estime aujourd’hui que les conditions sont réunies pour que le droit de visite de la recourante soit élargi. Il convient toutefois de ne pas perdre de vue le fait que le droit de visite doit être exercé dans l’intérêt des enfants. Or, la recourante ne dispose pas actuellement d’un logement lui permettant de les accueillir pour des nuitées. Il serait de surcroît prématuré de lui accorder d’emblée un droit de visite usuel, sans s’être préalablement assurés que le droit de visite s’exerce aussi harmonieusement à l’extérieur du Point rencontre qu’à l’intérieur de celui-ci et sur une durée plus étendue. La recourante n’ayant jamais mis concrètement ses enfants en danger et ne les ayant jamais maltraités, il ne se justifie par contre pas que l’exercice de son droit de visite s'exerce en présence d'une tierce personne. Compte tenu de ce qui précède, le droit de visite de la recourante sera modifié en ce sens qu’il pourra s’exercer en dehors du Point rencontre avec les cinq enfants cadets en même temps. Ce droit de visite s’exercera un jour par semaine, le samedi ou le dimanche en alternance, de 9h00 à 17h00, afin de permettre à chacun des parents de disposer d’un jour de repos avec leurs enfants. Le passage des enfants s’effectuera au Point rencontre. Le curateur chargé de l'organisation et de la surveillance desdites relations personnelles sera invité à établir le planning et, à la fin du mois de juin 2017, de préaviser le maintien ou la modification des modalités ainsi fixées.</w:t>
      </w:r>
    </w:p>
    <w:p>
      <w:r>
        <w:rPr>
          <w:b/>
        </w:rPr>
        <w:t>E. 5</w:t>
      </w:r>
    </w:p>
    <w:p>
      <w:r>
        <w:t>La procédure, qui porte sur la fixation des relations personnelles, n'est pas gratuite. Les frais de la procédure seront fixés à 400 fr. (art. 19, 22 et 77 LaCC; 54 Règlement fixant le tarif des frais en matière civile – RTFMC). Compte tenu de l'issue de la procédure, ils seront mis pour moitié à la charge de l'Etat et pour moitié à la charge de la recourante, laquelle n'a pas obtenu entièrement gain de cause. Dans la mesure toutefois où cette dernière a été mise au bénéfice de l'assistance judiciaire, la part de frais lui incombant sera provisoirement supportée par l'Etat de Genève. * * * * *</w:t>
      </w:r>
    </w:p>
    <w:p>
      <w:r>
        <w:t>- 9/10 -</w:t>
      </w:r>
    </w:p>
    <w:p>
      <w:r>
        <w:t>C/1999/2002-CS PAR CES MOTIFS, La Chambre de surveillance : A la forme : Déclare recevable le recours formé le 7 novembre 2016 par A______ contre la décision DTAE/4724/2016 du 26 septembre 2016 rendue par le Tribunal de protection de l'adulte et de l'enfant dans la cause C/1999/2002-6. Au fond : L'admet et annule la décision querellée. Cela fait et statuant à nouveau : Réserve à A______ un droit de visite sur ses filles G______, née le ______ 2002, H______, née le ______ 2004, I______, née le ______ 2006, J______, née le ______ 2008, et K______, née le ______ 2011, lequel s’exercera hors Point rencontre, à raison d'un jour par semaine, le samedi ou le dimanche alternativement, de 9h00 à 17h00, le passage des enfants devant s'opérer par l'entremise du Point rencontre. Invite le curateur à préaviser le maintien ou la modification des modalités du droit de visite de A______ telles que fixées ci-dessus, au plus tard le 30 juin 2017. Déboute les parties de toutes autres conclusions. Sur les frais : Arrête les frais de la procédure de recours à 400 fr. Les met pour moitié à la charge de l'Etat de Genève et pour moitié à la charge de A______. Dit que la part incombant à A______ sera provisoirement laissée à la charge de l'Etat de Genève, compte tenu du bénéfice de l'assistance judiciaire. Siégeant : Monsieur Cédric-Laurent MICHEL, président; Mesdames Paola CAMPOMAGNANI et Jocelyne DEVILLE-CHAVANNE, juges; Madame Carmen FRAGA, greffière.</w:t>
      </w:r>
    </w:p>
    <w:p>
      <w:r>
        <w:t>- 10/10 -</w:t>
      </w:r>
    </w:p>
    <w:p>
      <w:r>
        <w:t>C/1999/2002-CS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