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DAS/23/2014 vom 21. November 2013</w:t>
      </w:r>
    </w:p>
    <w:p>
      <w:r>
        <w:t>GE Cour de justice, 2013-11-21, FR</w:t>
      </w:r>
    </w:p>
    <w:p>
      <w:r>
        <w:rPr>
          <w:b/>
        </w:rPr>
        <w:t xml:space="preserve">Quelle: </w:t>
      </w:r>
      <w:r>
        <w:t>https://mcp.opencaselaw.ch/entscheid/ge_gerichte_DAS_23_2014</w:t>
      </w:r>
    </w:p>
    <w:p>
      <w:r>
        <w:t>FR: GE_GERICHTE DAS/23/2014 du 21 novembre 2013</w:t>
      </w:r>
    </w:p>
    <w:p>
      <w:r>
        <w:t>IT: GE_GERICHTE DAS/23/2014 del 21 novembre 2013</w:t>
      </w:r>
    </w:p>
    <w:p>
      <w:pPr>
        <w:pStyle w:val="Heading2"/>
      </w:pPr>
      <w:r>
        <w:t>Erwägungen</w:t>
      </w:r>
    </w:p>
    <w:p>
      <w:r>
        <w:rPr>
          <w:b/>
        </w:rPr>
        <w:t>E. 1.1</w:t>
      </w:r>
    </w:p>
    <w:p>
      <w:r>
        <w:t>Interjeté auprès de la Chambre de surveillance de la Cour de justice (art. 53 al. 1 LaCC), dans les délai et forme utiles (art. 450 al. 3 CC applicable par le renvoi de l'art. 314 al. 1; art. 53 al. 2 LaCC) par la mère de l'enfant, qui dispose de la qualité pour recourir (art. 450 al. 2 ch. 1 CC; art. 35 let. b LaCC), à l'encontre</w:t>
      </w:r>
    </w:p>
    <w:p>
      <w:r>
        <w:t>- 6/9 -</w:t>
      </w:r>
    </w:p>
    <w:p>
      <w:r>
        <w:t>C/19978/2004-CS d'une décision rendue par le Tribunal de protection sur une mesure en matière de protection de l'enfant, le recours est recevable.</w:t>
      </w:r>
    </w:p>
    <w:p>
      <w:r>
        <w:rPr>
          <w:b/>
        </w:rPr>
        <w:t>E. 1.2</w:t>
      </w:r>
    </w:p>
    <w:p>
      <w:r>
        <w:t>La Chambre de céans revoit la présente cause, soumise aux maximes inquisitoire illimitée et d'office (art. 446 al. 1 et al. 3 applicable par le renvoi de l'art. 314 al. 1 CC), avec un plein pouvoir d'examen (art. 450a al. 1 CC).</w:t>
      </w:r>
    </w:p>
    <w:p>
      <w:r>
        <w:rPr>
          <w:b/>
        </w:rPr>
        <w:t>E. 2</w:t>
      </w:r>
    </w:p>
    <w:p>
      <w:r>
        <w:t>La recourante conteste l'instauration de la curatelle de représentation dans les soins médicaux en faveur du mineur F______ et la restriction des droits parentaux qui en découlent.</w:t>
      </w:r>
    </w:p>
    <w:p>
      <w:r>
        <w:rPr>
          <w:b/>
        </w:rPr>
        <w:t>E. 2.1</w:t>
      </w:r>
    </w:p>
    <w:p>
      <w:r>
        <w:t>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ainsi de prendre toutes les décisions qui le concernent, pouvoir qui découle du fait qu'ils détiennent l'autorité parentale (art. 296 al. 1, 297 al. 1 et 304 al. 1 CC). Plus spécifiquement, tant que l'enfant est incapable de discernement, il leur appartient, en leur qualité de représentants légaux, d'accepter ou de refuser un traitement médical (art. 301 al. 1 CC). Encore plus que dans les autres domaines, le représentant légal doit, en cette matière, se déterminer exclusivement en fonction de l'intérêt exclusif de l'enfant, ce qui est une notion éminemment objective (ATF 114a 350 consid. 7b). Sa liberté de décision est moins grande que s'il s'agissait de prendre une décision pour lui- même et elle doit se fonder sur l'intérêt objectif du patient, tel qu'il résulte d'une pesée des intérêts entre les avantages et les inconvénients du traitement ou de l'intervention proposée (MANAÏ, Pouvoir parental et droit médical, FamPra 2002 p. 197 et ss., 203 et réf. citées).</w:t>
      </w:r>
    </w:p>
    <w:p>
      <w:r>
        <w:t>Lorsque le développement de l'enfant est mis en danger et que les parents n'y remédient pas d'eux-mêmes ou sont hors d'état de le faire, l'autorité de protection (à Genève : le Tribunal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w:t>
      </w:r>
    </w:p>
    <w:p>
      <w:r>
        <w:t>Plus spécifiquement, l'art. 308 al. 2 CC permet de nommer un curateur à l'enfant pour consentir à un acte médical, lorsque les parents s'y refusent et que la santé de l'enfant ou son développement sont mis en danger, cela quels que soient les motifs (religieux ou autres) qu'ils font valoir (MEIER, Commentaire romand du CC, note</w:t>
      </w:r>
    </w:p>
    <w:p>
      <w:r>
        <w:t>- 7/9 -</w:t>
      </w:r>
    </w:p>
    <w:p>
      <w:r>
        <w:t>C/19978/2004-CS 26 ad art. 308 CC). Le curateur chargé de pouvoirs de représentation particuliers en application de l'art. 308 al. 2 CC agit concurremment avec les parents, qui ont dès lors la possibilité de contrecarrer ses décisions par des décisions contraires. Si ce risque existe ou s'est déjà produit, l'autorité parentale peut être restreinte en conséquence (art. 308 al. 3 CC), ce qui évite de devoir retirer aux parents l'entière autorité parentale; la décision doit alors préciser sur quels points porte cette restriction (MEIER, op. cit., n. 28 ad. art. 308 CC et réf. citées).</w:t>
      </w:r>
    </w:p>
    <w:p>
      <w:r>
        <w:t>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w:t>
      </w:r>
    </w:p>
    <w:p>
      <w:r>
        <w:rPr>
          <w:b/>
        </w:rPr>
        <w:t>E. 2.2</w:t>
      </w:r>
    </w:p>
    <w:p>
      <w:r>
        <w:t>En l'espèce, la curatelle de représentation dans les soins médicaux a été instaurée à juste titre pour le mineur F______. Il résulte clairement de la procédure que la santé de F______ est objectivement en danger. Il apparaît en effet que celui-ci présente des souffrances et un mal-être profond, de graves troubles du comportement avec agressivité et des symptômes d'ordre psychotique. Tant son médecin traitant le Docteur G______ que la Doctoresse H______ ont préconisé des soins pédopsychiatriques et un traitement médicamenteux afin de calmer les angoisses du mineur et atténuer ses fantasmes agressifs. Ce traitement a été proposé à de nombreuses reprises par le Docteur G______ aux parents, mais ceux-ci l'ont systématiquement refusé. La décision de désigner un curateur qui pourra examiner, de manière neutre, la nécessité de prendre un traitement médical et d'autoriser les mesures utiles sur ce plan apparaît donc nécessaire. La recourante allègue que la décision querellée est inopportune et disproportionnée. Elle fait valoir que le contexte n'est plus le même, que depuis que son fils F______ est retourné vivre avec elle, son évolution est positive : il ne fume plus de cannabis, passe ses journées à l'école, en emploi et au centre de loisirs. Il s'est par ailleurs inscrit avec son père à un cours de sport de ______ pour canaliser son énergie. La recourante ne produit cependant aucun document relatif à l'état de santé de F______. Elle fonde ses propos principalement sur les déclarations faites par son fils, elle-même et le père de l'enfant devant le Tribunal de protection. Aucun certificat médical ne contredit par ailleurs les craintes exprimées tant par le Docteur G______ que par la Doctoresse H______. Il apparaît dès lors prématuré de retenir que le contexte social et familial autour de F______ est propice à l'amélioration de la santé et du comportement de celui-ci. De même, il est trop tôt pour affirmer que le diagnostic médical du mineur ne constitue plus une menace à son bien-être.</w:t>
      </w:r>
    </w:p>
    <w:p>
      <w:r>
        <w:t>- 8/9 -</w:t>
      </w:r>
    </w:p>
    <w:p>
      <w:r>
        <w:t>C/19978/2004-CS En définitive, la décision d'instaurer une curatelle pour les soins médicaux en faveur de F______ est proportionnée à la situation. Elle est de surcroît nécessaire. A cet égard, il faut rappeler que le Docteur G______ a confirmé l'aggravation des problèmes du mineur, relevant que celui-ci présentait de graves troubles du comportement avec agressivité et semblait en plus présenter des symptômes d'ordre psychotiques. Ce médecin n'a émis aucun certificat mentionnant que la situation du mineur s'était améliorée. La mesure a d'autre part été confiée à un médecin, la Doctoresse E______, dont la recourante ne remet pas en cause les compétences. La restriction dans cette mesure de l'autorité parentale de A______ et de B______ se justifie au vu de la situation et du refus des parents au traitement proposé par le Docteur G______. La mesure prononcée est par ailleurs propre à atteindre le but visé et conforme au principe de subsidiarité.</w:t>
      </w:r>
    </w:p>
    <w:p>
      <w:r>
        <w:rPr>
          <w:b/>
        </w:rPr>
        <w:t>E. 2.3</w:t>
      </w:r>
    </w:p>
    <w:p>
      <w:r>
        <w:t>Infondé, le recours sera rejeté et la décision querellée sera confirmée.</w:t>
      </w:r>
    </w:p>
    <w:p>
      <w:r>
        <w:rPr>
          <w:b/>
        </w:rPr>
        <w:t>E. 3</w:t>
      </w:r>
    </w:p>
    <w:p>
      <w:r>
        <w:t>Le recours s'inscrivant dans une procédure de protection de l'enfant, la procédure de recours est gratuite (art. 81 al. 1 LaCC). La recourante est la partie qui succombe, de telle sorte qu'il n'y a pas lieu à lui allouer de dépens. * * * * *</w:t>
      </w:r>
    </w:p>
    <w:p>
      <w:r>
        <w:t>- 9/9 -</w:t>
      </w:r>
    </w:p>
    <w:p>
      <w:r>
        <w:t>C/19978/2004-CS PAR CES MOTIFS, La Chambre de surveillance : À la forme : Déclare recevable le recours interjeté par A______ contre l'ordonnance DTAE/5018/2013 rendue le 15 octobre 2013 par le Tribunal de protection de l'adulte et de l'enfant dans la cause C/19978/2004-7. Au fond : Confirme la décision querellée. Déboute A______ de toutes autres conclusions. Sur les frais : Dit que la procédure de recours est gratuite. Dit qu'il n'y pas lieu à allocation de dépens.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