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DAS/238/2018 vom 16. November 2012</w:t>
      </w:r>
    </w:p>
    <w:p>
      <w:r>
        <w:t>GE Cour de justice, 2012-11-16, FR</w:t>
      </w:r>
    </w:p>
    <w:p>
      <w:r>
        <w:rPr>
          <w:b/>
        </w:rPr>
        <w:t xml:space="preserve">Quelle: </w:t>
      </w:r>
      <w:r>
        <w:t>https://mcp.opencaselaw.ch/entscheid/ge_gerichte_DAS_238_2018</w:t>
      </w:r>
    </w:p>
    <w:p>
      <w:r>
        <w:t>FR: GE_GERICHTE DAS/238/2018 du 16 novembre 2012</w:t>
      </w:r>
    </w:p>
    <w:p>
      <w:r>
        <w:t>IT: GE_GERICHTE DAS/238/2018 del 16 novembre 2012</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le père du mineur,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sollicite que son droit de visite soit étendu à la nuit du mardi au mercredi lorsque, une semaine sur deux, il prend en charge son enfant le mardi soir et la journée du mercredi.</w:t>
      </w:r>
    </w:p>
    <w:p>
      <w:r>
        <w:t>- 4/6 -</w:t>
      </w:r>
    </w:p>
    <w:p>
      <w:r>
        <w:t>C/4090/2012-CS</w:t>
      </w:r>
    </w:p>
    <w:p>
      <w:r>
        <w:rPr>
          <w:b/>
        </w:rPr>
        <w:t>E. 2.1</w:t>
      </w:r>
    </w:p>
    <w:p>
      <w:r>
        <w:t>Le père ou la mère qui ne détient pas l'autorité parentale ou la garde ainsi que l'enfant mineur ont réciproquement le droit d'entretenir les relations personnelles indiquées par les circonstances (art. 273 al. 1 CC). Le droit de visite doit servir en premier lieu l'intérêt de l'enfant; lors de la fixation du droit de visite, il ne s'agit pas de trouver un juste équilibre entre les intérêts des parents mais de régler les relations personnelles de l'enfant dans l'intérêt de ce dernier (ATF 122 III 404 in JdT 1998 I 46, 123 III 445 in JdT 1998 I 354).</w:t>
      </w:r>
    </w:p>
    <w:p>
      <w:r>
        <w:rPr>
          <w:b/>
        </w:rPr>
        <w:t>E. 2.2</w:t>
      </w:r>
    </w:p>
    <w:p>
      <w:r>
        <w:t>En l'espèce, le droit de visite réservé au père un week-end sur deux, du vendredi à la sortie de l’école jusqu’au lundi à la reprise de l’école, ainsi que durant la moitié des vacances scolaires, n'est pas remis en cause. Conforme au bien de l'enfant, il sera maintenu.</w:t>
      </w:r>
    </w:p>
    <w:p>
      <w:r>
        <w:t>La modification que sollicite le recourant porte sur son droit de visite en milieu de semaine. Sur ce point, les premiers juges ont prévu que ce droit s'exercerait tous les mardis à la sortie de l’école jusqu’à 19h00, ainsi qu'un mercredi sur deux, de 10h00 jusqu’à 19h00 tant que l'enfant aura congé le mercredi, puis, dès que le mineur ira à l'école le mercredi matin, dès la sortie de l'école jusqu'à 19h00. Le recourant en sollicite l'extension à la nuit du mardi au mercredi lorsque, une semaine sur deux, il prend son fils également en charge le mercredi. La mère s'est déclarée d'accord avec les modalités proposées par le père tant que l'enfant n'a pas école le mercredi matin. Elle souhaite en revanche que l'ordonnance querellée soit maintenue à compter de la rentrée scolaire prochaine, lorsque l'enfant ira à l'école le mercredi matin. Les modalités sur lesquelles les parents s'entendent apparaissent dans l'intérêt de l'enfant dès lors qu'elles permettent d'éviter à celui-ci des trajets répétés entre les domiciles de ses parents les mardi soir et mercredi matin. L'ordonnance querellée sera en conséquence modifiée en ce sens, le droit de visite s'exerçant, tant que l'enfant aura congé le mercredi, une semaine sur deux, le mardi à la sortie de l'école jusqu'à 19h00, puis la semaine suivante, du mardi à la sortie de l'école au mercredi 19h00. Il se justifie en revanche de maintenir la réglementation prévue par le Tribunal de protection dès que l'enfant ira à l'école le mercredi matin, afin qu'il passe la nuit du mardi au mercredi chez sa mère et se rende à l'école le mercredi depuis le domicile de celle-ci, situé à proximité de l'école.</w:t>
      </w:r>
    </w:p>
    <w:p>
      <w:r>
        <w:t>Par souci de clarté, il convient d'annuler le chiffre 2 du dispositif de l'ordonnance querellée, et de statuer à nouveau sur le droit de visite réservé au père.</w:t>
      </w:r>
    </w:p>
    <w:p>
      <w:r>
        <w:rPr>
          <w:b/>
        </w:rPr>
        <w:t>E. 3</w:t>
      </w:r>
    </w:p>
    <w:p>
      <w:r>
        <w:t>La procédure, qui porte sur la question des relations personnelles, n'est pas gratuite (art. 19 LaCC; art. 67B RTFMC). Les frais, arrêtés à 400 fr., seront mis à la charge des parties, par moitié entre elles. Il n'y a pas lieu d'allouer des dépens. * * * * *</w:t>
      </w:r>
    </w:p>
    <w:p>
      <w:r>
        <w:t>- 5/6 -</w:t>
      </w:r>
    </w:p>
    <w:p>
      <w:r>
        <w:t>C/4090/2012-CS PAR CES MOTIFS, La Chambre de surveillance : A la forme : Déclare recevable le recours formé le 31 juillet 2018 par A______ contre le chiffre 2 du dispositif de l'ordonnance DTAE/3860/2018 rendue le 21 mars 2018 par le Tribunal de protection de l'adulte et de l'enfant dans la cause C/4090/2012-8. Au fond : Annule le chiffre 2 du dispositif de cette ordonnance et statuant à nouveau sur ce point : Réserve à A______ un droit de visite sur son fils C______ qui s'exercera, sauf accord contraire entre les parents, selon les modalités suivantes : - une semaine sur deux, du vendredi à la sortie de l’école jusqu’au lundi à la reprise de l’école; - tant que l'enfant aura congé le mercredi : une semaine sur deux, le mardi dès la sortie de l’école jusqu’à 19h00, charge au père de ramener l’enfant chez sa mère, puis, la semaine suivante, du mardi dès la sortie de l'école au mercredi 19h00; - dès que le mineur ira à l’école le mercredi matin : le mardi dès la sortie de l'école jusqu'à 19h00, et un mercredi sur deux, dès la sortie de l’école jusqu’à 19h00; - durant la moitié des vacances scolaires. Déboute les parties de toutes autres conclusions. Sur les frais : Arrête les frais judiciaires de recours à 400 fr., les met à la charge de A______ et de B______ par moitié entre elles, et les compense avec l'avance versée, qui reste acquise à l'Etat de Genève. Condamne en conséquence B______ à verser 200 fr. à A______. Siégeant : Monsieur Cédric-Laurent MICHEL, président; Mesdames Paola CAMPOMAGNANI et Ursula ZEHETBAUER GHAVAMI, juges; Madame Carmen FRAGA, greffière.</w:t>
      </w:r>
    </w:p>
    <w:p>
      <w:r>
        <w:t>- 6/6 -</w:t>
      </w:r>
    </w:p>
    <w:p>
      <w:r>
        <w:t>C/4090/2012-CS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