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DAS/233/2023 vom 26. Juni 2023</w:t>
      </w:r>
    </w:p>
    <w:p>
      <w:r>
        <w:t>GE Cour de justice, 2023-06-26, FR</w:t>
      </w:r>
    </w:p>
    <w:p>
      <w:r>
        <w:rPr>
          <w:b/>
        </w:rPr>
        <w:t xml:space="preserve">Quelle: </w:t>
      </w:r>
      <w:r>
        <w:t>https://mcp.opencaselaw.ch/entscheid/ge_gerichte_DAS_233_2023</w:t>
      </w:r>
    </w:p>
    <w:p>
      <w:r>
        <w:t>FR: GE_GERICHTE DAS/233/2023 du 26 juin 2023</w:t>
      </w:r>
    </w:p>
    <w:p>
      <w:r>
        <w:t>IT: GE_GERICHTE DAS/233/2023 del 26 giugno 2023</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rendues sur mesures provisionnelles peuvent faire l’objet d’un recours (art. 450 al. 1 C) dans un délai de dix jours à compter de la notification de la décision (art. 445 al. 3 CC), auprès de la Chambre de surveillance de la Cour de justice (art. 52 al. 1 LaCC).</w:t>
      </w:r>
    </w:p>
    <w:p>
      <w:r>
        <w:t>- 11/17 -</w:t>
      </w:r>
    </w:p>
    <w:p>
      <w:r>
        <w:t>C/3589/2023-CS En l’espèce, le recours a été formé dans le délai utile et selon les formes prescrites, de sorte qu’il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recourants se plaignent d'une violation de leur droit d'être entendus et reprochent au Tribunal de protection d'avoir adopté des mesures de protection en faveur de leur fille sans avoir ordonné des mesures d'instruction nécessaires.</w:t>
      </w:r>
    </w:p>
    <w:p>
      <w:r>
        <w:t>2.1.1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2.1.2 L'autorité de protection établit les faits d'office. Elle procède à la recherche et à l'administration des preuves nécessaires. Elle peut charger une tierce personne ou un service d'effectuer une enquête. Si nécessaire, elle ordonne un rapport d'expertise (art. 446 al. 1 et 2 CC). 2.1.3 L'autorité de protection prend toutes les mesures nécessaires pendant la durée de la procédure; elle peut notamment ordonner une mesure de protection à titre provisoire (art. 445 al. 1 CC, par renvoi de l'art. 314 al. 1 CC). Pour arriver à réaliser le but de protection, il est souvent indispensable que les mesures qui s'avèrent nécessaires puissent déployer des effets pendant la procédure déjà (STECK, CommFam, Protection de l'adulte, n. 3 ad art. 445 CC). Un mesure est nécessaire lorsque la protection de la personne ne permet pas d'attendre le prononcé de la décision finale à rendre à l'issue de la procédure et exige qu'une mesure soit prononcée pour la durée de la procédure (MARANTA/AUER/MARTI, Zivilgesetzbuch I (Basler Kommentar), 2018, n. 6 et 7 ad art. 445). Les mesures provisionnelles étant soumises à la procédure sommaire, la cognition du juge est limitée à la simple vraisemblance des faits et à un examen sommaire du droit, l'exigence de célérité étant privilégiée par rapport à celle de sécurité (ATF 127 III 474 consid. 2b/bb, JdT 2002 I 352; arrêt du Tribunal fédéral 5A_792/2016 du 23 janvier 2017 consid. 4.1).</w:t>
      </w:r>
    </w:p>
    <w:p>
      <w:r>
        <w:t>- 12/17 -</w:t>
      </w:r>
    </w:p>
    <w:p>
      <w:r>
        <w:t>C/3589/2023-CS</w:t>
      </w:r>
    </w:p>
    <w:p>
      <w:r>
        <w:rPr>
          <w:b/>
        </w:rPr>
        <w:t>E. 2.2</w:t>
      </w:r>
    </w:p>
    <w:p>
      <w:r>
        <w:t>En l'espèce, les recourants reprochent au Tribunal de protection d'avoir prononcé des mesures de protection en faveur de leur enfant sans avoir procédé aux mesures d'instruction appropriées. Ils lui font notamment grief d'avoir omis de mener les investigations nécessaires, de consulter les médecins intervenus auprès de leur enfant, d'ordonner une évaluation médicale et une expertise psychiatrique. Leur acte de recours fait ressortir qu'ils se méprennent sur la nature de l'ordonnance entreprise. En effet, il ne s'agit pas d'une décision finale, que le Tribunal de protection prononcera à l'issue de l'instruction qu'il va mener et après avoir administré les preuves nécessaires, mais d'une ordonnance rendue à titre provisoire qui va déployer ses effets durant la procédure avant d'être remplacée par la décision finale. Le Tribunal de protection a prononcé les mesures provisionnelles querellées en appréciant les éléments de la cause sous l'angle de la vraisemblance et en retenant qu'il était nécessaire de prononcer des mesures provisoires, le temps qu'il instruise la cause en ordonnant les mesures probatoires appropriées. Aucune violation du droit d'être entendus des recourants n'a ainsi été commise. Ce grief n'est pas fondé.</w:t>
      </w:r>
    </w:p>
    <w:p>
      <w:r>
        <w:rPr>
          <w:b/>
        </w:rPr>
        <w:t>E. 3</w:t>
      </w:r>
    </w:p>
    <w:p>
      <w:r>
        <w:t>Les recourants demandent par ailleurs à la Chambre de surveillance d'ordonner le retour de leur enfant en leurs foyers respectifs.</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2021 consid. 3.1). A l'instar de toute mesure de protection de l'enfant, le retrait du droit de garde, composante de l'autorité parentale (ATF 128 III 9 consid. 4a et les références citées) est régi par les principes de subsidiarité, de complémentarité et de proportionnalité (arrêt du Tribunal fédéral 5A_858/2008 du 15 avril 2009 consid. 4.2).</w:t>
      </w:r>
    </w:p>
    <w:p>
      <w:r>
        <w:rPr>
          <w:b/>
        </w:rPr>
        <w:t>E. 3.2</w:t>
      </w:r>
    </w:p>
    <w:p>
      <w:r>
        <w:t>En l'espèce, en sollicitant le retour de leur enfant en leurs domiciles, les recourants requièrent la levée du placement de celle-ci en foyer et donc du retrait de leur droit de déterminer son lieu de résidence.</w:t>
      </w:r>
    </w:p>
    <w:p>
      <w:r>
        <w:t>- 13/17 -</w:t>
      </w:r>
    </w:p>
    <w:p>
      <w:r>
        <w:t>C/3589/2023-CS</w:t>
      </w:r>
    </w:p>
    <w:p>
      <w:r>
        <w:t>Il ressort du dossier que l'adolescente s'est trouvée dans une grande détresse en avril 2023, qui a nécessité son hospitalisation dans l'unité des HUG prenant en charge les adolescents en crise suicidaire. Elle réside depuis lors en foyer, et a pu retrouver un certain apaisement depuis qu'elle est préservée des pressions familiales, et a exprimé le souhait de pouvoir rester en foyer. Il apparaît dans ces circonstances dans l'intérêt de l'enfant de maintenir son placement en foyer. Comme le Tribunal de protection l'a relevé à juste titre, il est en l'état prématuré d'ordonner le retour de l'enfant dans l'environnement qui prévalait avant son hospitalisation, vu ses relations difficiles avec ses parents.</w:t>
      </w:r>
    </w:p>
    <w:p>
      <w:r>
        <w:t>Il se justifie en conséquence de confirmer les chiffres 1 et 2 du dispositif de l'ordonnance attaquée.</w:t>
      </w:r>
    </w:p>
    <w:p>
      <w:r>
        <w:rPr>
          <w:b/>
        </w:rPr>
        <w:t>E. 4</w:t>
      </w:r>
    </w:p>
    <w:p>
      <w:r>
        <w:t>4.1.1 L’autorité de protection de l’enfant prend les mesures nécessaires pour protéger l’enfant si son développement est menacé et que les père et mère n’y remédient pas d’eux-mêmes ou soient hors d’état de le faire (art. 307 al. 1 CC) . Elle peut, en particulier, rappeler les père et mère à leurs devoirs, donner des indications ou instructions relatives au soin, à l’éducation et à la formation de l’enfant, et désigner une personne ou un office qualifiés qui aura un droit de regard et d’information (art. 307 al. 3 CC).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alimentaires et d'autres droits, ainsi que la surveillance des relations personnelles (art. 308 al. 2 CC). L'autorité parentale peut être limitée en conséquence (art. 308 al. 3 CC). 4.1.2 L'autorité tutélaire doit clairement indiquer la nature et l'étendue des pouvoirs confiés au curateur. Ceux-ci dépendront des situations de mise en danger de l'enfant et de la façon jugée la plus appropriée d'y faire face (MEIER, Commentaire romand, Code civil I, PICHONNAZ/FOËX (éd.), n. 13 ad art. 308 CC). 4.1.3 Dans la mesure de ces pouvoirs particuliers, le curateur représente l'enfant. Ce pouvoir de représentation est concurrent à celui des père et mère; ceux-ci peuvent par conséquent contrecarrer les actes du curateur. Si un tel risque existe ou s'est déjà réalisé, l'autorité tutélaire devra expressément limiter l'autorité parentale (art. 308 al. 3 CC), en décrivant précisément les points sur lesquels les père et mère sont privés de leur pouvoir (MEIER, op. cit. n. 28 ad art. 308).</w:t>
      </w:r>
    </w:p>
    <w:p>
      <w:r>
        <w:rPr>
          <w:b/>
        </w:rPr>
        <w:t>E. 4.2</w:t>
      </w:r>
    </w:p>
    <w:p>
      <w:r>
        <w:t>En l'espèce, les recourants reprochent au Tribunal de protection de leur avoir retiré l'autorité parentale pour représenter leur fille dans le domaine médical et d'avoir chargé deux collaborateurs du Service de protection des mineurs de décider de procéder aux traitements médicaux en vue d'un changement de sexe de</w:t>
      </w:r>
    </w:p>
    <w:p>
      <w:r>
        <w:t>- 14/17 -</w:t>
      </w:r>
    </w:p>
    <w:p>
      <w:r>
        <w:t>C/3589/2023-CS leur enfant. Leur fille souhaitait en effet procéder à des injections d'hormones visant à bloquer la puberté, qui constituent des traitements irréversibles qui la rendraient stériles.</w:t>
      </w:r>
    </w:p>
    <w:p>
      <w:r>
        <w:rPr>
          <w:b/>
        </w:rPr>
        <w:t>E. 4.2.1</w:t>
      </w:r>
    </w:p>
    <w:p>
      <w:r>
        <w:t>Les recourants se méprennent sur la portée des mesures adoptées par le Tribunal de protection, qui n'ont pas pour effet de priver les parents de toute décision concernant leur enfant dans le domaine médical ni de confier aux curateurs désignés toute décision dans ce domaine. La curatelle de représentation de la mineure dans le domaine médical et la limitation de l'autorité parentale s'y rapportant se limitent en effet au choix des lieux de consultation pour les suivis ordonnés, mais ne comprennent pas les décisions à prendre en matière de traitement ou d'intervention à entreprendre. Les critiques que formulent les recourants quant à l'inadéquation de la décision rendue au regard du caractère irréversible des traitements envisagés par leur fille sont ainsi dirigées contre une mesure qui n'a pas été prononcée.</w:t>
      </w:r>
    </w:p>
    <w:p>
      <w:r>
        <w:rPr>
          <w:b/>
        </w:rPr>
        <w:t>E. 4.2.2</w:t>
      </w:r>
    </w:p>
    <w:p>
      <w:r>
        <w:t>Dans l'ordonnance entreprise, le Tribunal de protection a ordonné le suivi thérapeutique et le suivi médical global de l'adolescente auprès de la I______ des HUG. Comme les recourants le soulèvent également, il est indispensable que l'adolescente, qui a mis fin au suivi qu'elle avait entrepris auprès de la Dre J______, puisse bénéficier d'un suivi thérapeutique. Comme le relève le Dr M______ dans son rapport du 4 août 2023, il est nécessaire de choisir un thérapeute compétent pour les personnes transgenres spécifiquement et offrant la neutralité indispensable à une exploration saine pour le jeune. Dans l'optique de mettre en œuvre un tel suivi et vu que les recourants insistent sur le fait que leur enfant devrait continuer le suivi auprès du médecin qu'ils ont choisi, le Tribunal de protection a prononcé une mesure adéquate et proportionnée en limitant l'autorité parentale des recourants sur ce point en chargeant les curateurs de choisir un lieu de consultation adéquat. S'agissant de la mise en place d'un suivi médical global auprès de la I______ des HUG, il ressort en effet du dossier que l'adolescente avait déjà été adressée à plusieurs reprises auprès de cette consultation, tout d'abord en mai 2021 sur proposition de son pédiatre, puis en mai 2023 sur l'initiative de l'intervenante en protection du Service de protection des mineurs, mais que ces suivis avaient été interrompus par les parents. Ce suivi apparaît toutefois adéquat pour la prise en charge de l'adolescente, comme cela ressort du rapport du Dr M______ du 4 août 2023, qui a relevé que la I______ des HUG offrait une prise en charge pluridisciplinaire des jeunes en questionnement sur leur identité de genre, que la mise en place d'un tel suivi, relevant de la médecine de l'adolescence et de la pédopsychiatrie, permettait d'explorer les besoins de chaque jeune faisant cette demande et de sa famille, et d'aboutir, ou pas, à un diagnostic formel de dysphorie de genre, puis d'envisager des mesures en fonction des besoins du patient, qui</w:t>
      </w:r>
    </w:p>
    <w:p>
      <w:r>
        <w:t>- 15/17 -</w:t>
      </w:r>
    </w:p>
    <w:p>
      <w:r>
        <w:t>C/3589/2023-CS pouvaient relever de la seule transition sociale, de mesures de changements corporelles non médicales, ou alors d'interventions chirurgicales après la majorité ou d'un traitement hormonal, en précisant qu'un tel processus prenait habituellement de nombreux mois avec des consultations régulières et requérait la participation des parents pour les mineurs. Il sera enfin relevé ici que l'exécution de telles interventions ou traitements dépendront, en outre, de l'instruction à mener par le Tribunal de protection et de la décision à rendre ultérieurement sur le fond. Dans ces circonstances, le suivi médical global ordonné par le Tribunal de protection dans le cadre de cette consultation apparaît dans l'intérêt de l'enfant.</w:t>
      </w:r>
    </w:p>
    <w:p>
      <w:r>
        <w:rPr>
          <w:b/>
        </w:rPr>
        <w:t>E. 4.2.3</w:t>
      </w:r>
    </w:p>
    <w:p>
      <w:r>
        <w:t>Les chiffres 5, 6 et 10 de l'ordonnance querellée seront également confirmés.</w:t>
      </w:r>
    </w:p>
    <w:p>
      <w:r>
        <w:rPr>
          <w:b/>
        </w:rPr>
        <w:t>E. 5</w:t>
      </w:r>
    </w:p>
    <w:p>
      <w:r>
        <w:t>Les recourants sollicitent un remplacement des curateurs désignés par le Tribunal de protection, reprochant aux deux intervenants nommés curateurs de leur fille d'avoir pris fait et cause pour un changement de sexe et d'endoctriner leur enfant.</w:t>
      </w:r>
    </w:p>
    <w:p>
      <w:r>
        <w:rPr>
          <w:b/>
        </w:rPr>
        <w:t>E. 5.1</w:t>
      </w:r>
    </w:p>
    <w:p>
      <w:r>
        <w:t>L'autorité de protection nomme curateur une personne physique qui possède les aptitudes et les connaissances nécessaires à l'accomplissement des tâches qui lui seront confiées, qui dispose du temps nécessaire et qui les exécute en personne; elle libère le curateur de ses fonctions notamment s'il n'est plus apte à remplir les tâches qui lui sont confiées ou s'il existe un autre juste motif (art. 400 al. 1 et 423 ch. 1 et 2 CC, applicables à la protection des mineurs par renvoi de l'art. 327c CC).</w:t>
      </w:r>
    </w:p>
    <w:p>
      <w:r>
        <w:rPr>
          <w:b/>
        </w:rPr>
        <w:t>E. 5.2</w:t>
      </w:r>
    </w:p>
    <w:p>
      <w:r>
        <w:t>En l'espèce, aucun élément au dossier ne permet de retenir que les intervenants en protection chargés de la curatelle de représentation de la mineure dans le domaine médical auraient manqué de neutralité ou agi de manière inadéquate dans l'exercice de leur charge. Rien n'indique, en particulier, qu'ils auraient agi de manière à influencer l'enfant en faveur d'un changement de sexe.</w:t>
      </w:r>
    </w:p>
    <w:p>
      <w:r>
        <w:t>Il n'y a donc pas lieu de révoquer les curateurs désignés, qui apparaissent avoir les compétences requises pour représenter la mineure en matière médicale, étant à nouveau rappelé que leurs pouvoirs se limitent aux choix des lieux de consultation pour le suivi thérapeutique et du suivi médical global de la mineure.</w:t>
      </w:r>
    </w:p>
    <w:p>
      <w:r>
        <w:rPr>
          <w:b/>
        </w:rPr>
        <w:t>E. 6</w:t>
      </w:r>
    </w:p>
    <w:p>
      <w:r>
        <w:t>Les recourants demandent par ailleurs à ce qu'instruction soit faite à leur fille de participer aux séances de la thérapie familiale initiée auprès de L______ depuis janvier 2023.</w:t>
      </w:r>
    </w:p>
    <w:p>
      <w:r>
        <w:t>Ils ne remettent à raison pas en cause le bien-fondé de cette mesure, qui apparaît indispensable pour apaiser les relations entre l'adolescente et ses parents. Il n'y a en revanche pas lieu de modifier l'ordonnance attaquée ni de prononcer une nouvelle injonction comme le sollicitent les requérants, dans la mesure où l'instruction faite par le Tribunal de protection s'adresse déjà tant aux parents qu'à l'adolescente.</w:t>
      </w:r>
    </w:p>
    <w:p>
      <w:r>
        <w:t>- 16/17 -</w:t>
      </w:r>
    </w:p>
    <w:p>
      <w:r>
        <w:t>C/3589/2023-CS</w:t>
      </w:r>
    </w:p>
    <w:p>
      <w:r>
        <w:rPr>
          <w:b/>
        </w:rPr>
        <w:t>E. 7</w:t>
      </w:r>
    </w:p>
    <w:p>
      <w:r>
        <w:t>Il n'y a, de même, pas lieu de donner suite aux conclusions des recourants tendant au prononcé d'une curatelle d'assistance éducative, dès lors qu'une telle mesure a été ordonnée le 31 mars 2023 et maintenue dans le cadre de l'ordonnance entreprise.</w:t>
      </w:r>
    </w:p>
    <w:p>
      <w:r>
        <w:rPr>
          <w:b/>
        </w:rPr>
        <w:t>E. 8</w:t>
      </w:r>
    </w:p>
    <w:p>
      <w:r>
        <w:t>Pour le surplus, les recourants ne critiquent pas spécifiquement les autres mesures de protection adoptées par le Tribunal de protection, comme le droit de visite qui leur a été réservé ou les rencontres organisées entre les deux enfants. Ces mesures seront confirmées en ce qu'elles apparaissent conformes à l'intérêt de la mineure.</w:t>
      </w:r>
    </w:p>
    <w:p>
      <w:r>
        <w:rPr>
          <w:b/>
        </w:rPr>
        <w:t>E. 9</w:t>
      </w:r>
    </w:p>
    <w:p>
      <w:r>
        <w:t>En définitive, l'ordonnance attaquée sera intégralement confirmée.</w:t>
      </w:r>
    </w:p>
    <w:p>
      <w:r>
        <w:rPr>
          <w:b/>
        </w:rPr>
        <w:t>E. 10</w:t>
      </w:r>
    </w:p>
    <w:p>
      <w:r>
        <w:t>Vu l'issue de la procédure, la requête formée par la curatrice de représentation de la mineure auprès du Tribunal de protection et transmise à la Chambre de surveillance le 27 septembre 2023, tendant à ce que celle-ci soit autorisée à continuer son suivi auprès de la I______, n'a plus d'objet.</w:t>
      </w:r>
    </w:p>
    <w:p>
      <w:r>
        <w:rPr>
          <w:b/>
        </w:rPr>
        <w:t>E. 11</w:t>
      </w:r>
    </w:p>
    <w:p>
      <w:r>
        <w:t>S'agissant de mesures de protection de l'enfant, la procédure est gratuite (art. 81 al. 1 LaCC). * * * * *</w:t>
      </w:r>
    </w:p>
    <w:p>
      <w:r>
        <w:t>- 17/17 -</w:t>
      </w:r>
    </w:p>
    <w:p>
      <w:r>
        <w:t>C/3589/2023-CS PAR CES MOTIFS, La Chambre de surveillance : A la forme : Déclare recevable le recours formé le 26 juin 2023 par A______ et B______ contre l'ordonnance DTAE/4528/2023 rendue le 10 mai 2023 par le Tribunal de protection de l'adulte et de l'enfant dans la cause C/3589/2023. Au fond : Rejette ce recours. Déboute les parties de toutes autres conclusions. Dit que la procédure est gratuite. Siégeant : Monsieur Cédric-Laurent MICHEL, président; Mesdames Paola CAMPOMAGNANI et Ursula ZEHETBAUER GHAVAMI, juges; Madame Carmen FRAGA, greffière.</w:t>
      </w:r>
    </w:p>
    <w:p>
      <w:r>
        <w:t>Indications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