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DAS/22/2024 vom 25. August 2023</w:t>
      </w:r>
    </w:p>
    <w:p>
      <w:r>
        <w:t>GE Cour de justice, 2023-08-25, FR</w:t>
      </w:r>
    </w:p>
    <w:p>
      <w:r>
        <w:rPr>
          <w:b/>
        </w:rPr>
        <w:t xml:space="preserve">Quelle: </w:t>
      </w:r>
      <w:r>
        <w:t>https://mcp.opencaselaw.ch/entscheid/ge_gerichte_DAS_22_2024</w:t>
      </w:r>
    </w:p>
    <w:p>
      <w:r>
        <w:t>FR: GE_GERICHTE DAS/22/2024 du 25 août 2023</w:t>
      </w:r>
    </w:p>
    <w:p>
      <w:r>
        <w:t>IT: GE_GERICHTE DAS/22/2024 del 25 agosto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w:t>
      </w:r>
    </w:p>
    <w:p>
      <w:r>
        <w:rPr>
          <w:b/>
        </w:rPr>
        <w:t>E. 1.2</w:t>
      </w:r>
    </w:p>
    <w:p>
      <w:r>
        <w:t>En l'espèce, certes le recours formé par la personne concernée par la mesure elle-même ne contient pas de grief ni de conclusion précis. Cependant, l'on comprend que le recourant souhaite l'annulation de la décision prise, dans la mesure où il considère ne pas être anosognosique de son trouble. Dès lors, il sera considéré que, par ailleurs formé dans le délai utile, devant l'autorité compétente et par la personne placée sous curatelle, le recours répond à la forme prescrite par la loi et sera déclaré recevable. Est irrecevable en revanche, car tardive, la conclusion nouvelle prise par le recourant dans sa réplique, relative aux frais d'expertise mis à sa charge.</w:t>
      </w:r>
    </w:p>
    <w:p>
      <w:r>
        <w:rPr>
          <w:b/>
        </w:rPr>
        <w:t>E. 1.3</w:t>
      </w:r>
    </w:p>
    <w:p>
      <w:r>
        <w:t>La Chambre de surveillance examine la cause librement, en fait, en droit et sous l'angle de l'opportunité (art. 450a CC).</w:t>
      </w:r>
    </w:p>
    <w:p>
      <w:r>
        <w:rPr>
          <w:b/>
        </w:rPr>
        <w:t>E. 2.1</w:t>
      </w:r>
    </w:p>
    <w:p>
      <w:r>
        <w:t>Les mesures prises par l'autorité de protection de l'adulte garantissent l'assistance et la protection de la personne qui a besoin d'aide (art. 388 al. 1 CC).</w:t>
      </w:r>
    </w:p>
    <w:p>
      <w:r>
        <w:t>- 5/7 -</w:t>
      </w:r>
    </w:p>
    <w:p>
      <w:r>
        <w:t>C/23729/2022-CS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w:t>
      </w:r>
    </w:p>
    <w:p>
      <w:r>
        <w:rPr>
          <w:b/>
        </w:rPr>
        <w:t>E. 2.2</w:t>
      </w:r>
    </w:p>
    <w:p>
      <w:r>
        <w:t>En l'espèce, il résulte du dossier, et notamment de l'expertise diligentée à la demande du Tribunal de protection et du signalement médical initial, que le recourant, qui souffre de diverses affections de santé (démence vasculaire et trouble organique de la personnalité et du comportement, constitutifs de troubles psychiques) n'est plus capable de gérer ses biens et son administration de façon conforme à ses intérêts. Par ailleurs, ces affections de santé ne sont pas susceptibles d'amélioration mais au contraire d'une inexorable péjoration. Comme l'a relevé le Tribunal de protection, cette incapacité du fait de son état avait poussé le recourant à accumuler les poursuites et les actes de défauts de biens pour des dettes dues, alors qu'il disposait largement des moyens nécessaires pour s'en acquitter, mettant en péril ses intérêts par un comportement irrationnel. Le curateur provisoire a d'ailleurs, depuis sa nomination, réussi à assainir sa situation financière, ce qui démontre la nécessité de la mesure et de l'aide apportée pour la gestion et l'administration par un tiers tel que celui désigné. Le recourant fait grand cas du fait qu'il ne serait pas anosognosique de son état, comme l'expert le relève. Cela, que tel soit le cas ou non, n'a cependant aucune incidence sur l'existence des troubles constatés, qui affectent sa capacité de discernement et qui sont la cause du prononcé de la mesure.</w:t>
      </w:r>
    </w:p>
    <w:p>
      <w:r>
        <w:t>- 6/7 -</w:t>
      </w:r>
    </w:p>
    <w:p>
      <w:r>
        <w:t>C/23729/2022-CS Par conséquent, la nécessité d'une mesure doit être confirmée, la curatelle de représentation et de gestion prononcée par le Tribunal de protection avec limitation des droits civils en matière contractuelle, la mesure étant proportionnée et adéquate, ce d'autant que le recourant n'a pas été privé de l'accès à ses comptes bancaires.</w:t>
      </w:r>
    </w:p>
    <w:p>
      <w:r>
        <w:rPr>
          <w:b/>
        </w:rPr>
        <w:t>E. 3</w:t>
      </w:r>
    </w:p>
    <w:p>
      <w:r>
        <w:t>Dès lors, le recours doit être rejeté sous suite de frais, arrêtés à 400 fr., et entièrement compensés avec l'avance versée, qui reste acquise à l'Etat de Genève. * * * * *</w:t>
      </w:r>
    </w:p>
    <w:p>
      <w:r>
        <w:t>- 7/7 -</w:t>
      </w:r>
    </w:p>
    <w:p>
      <w:r>
        <w:t>C/23729/2022-CS PAR CES MOTIFS, La Chambre de surveillance : A la forme : Déclare recevable le recours formé le 25 août 2023 par A______ contre l’ordonnance DTAE/5516/2023 rendue le 9 juin 2023 par le Tribunal de protection de l’adulte et de l’enfant dans la cause C/23729/2022. Au fond : Le rejette. Sur les frais : Arrête les frais de la procédure de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