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DAS/22/2019 vom 22. Januar 2019</w:t>
      </w:r>
    </w:p>
    <w:p>
      <w:r>
        <w:t>GE Cour de justice, 2019-01-22, FR</w:t>
      </w:r>
    </w:p>
    <w:p>
      <w:r>
        <w:rPr>
          <w:b/>
        </w:rPr>
        <w:t xml:space="preserve">Quelle: </w:t>
      </w:r>
      <w:r>
        <w:t>https://mcp.opencaselaw.ch/entscheid/ge_gerichte_DAS_22_2019</w:t>
      </w:r>
    </w:p>
    <w:p>
      <w:r>
        <w:t>FR: GE_GERICHTE DAS/22/2019 du 22 janvier 2019</w:t>
      </w:r>
    </w:p>
    <w:p>
      <w:r>
        <w:t>IT: GE_GERICHTE DAS/22/2019 del 22 gennaio 2019</w:t>
      </w:r>
    </w:p>
    <w:p>
      <w:pPr>
        <w:pStyle w:val="Heading2"/>
      </w:pPr>
      <w:r>
        <w:t>Erwägungen</w:t>
      </w:r>
    </w:p>
    <w:p>
      <w:r>
        <w:rPr>
          <w:b/>
        </w:rPr>
        <w:t>E. 1</w:t>
      </w:r>
    </w:p>
    <w:p>
      <w:r>
        <w:t>Déposé dans les formes et délai prévus par la loi par-devant l'instance compétente, le recours est recevable (art. 450 al. 1, 450b al. 1 et 450 al. 3 CC; 53 al. 1 LaCC). La Chambre de surveillance revoit la cause en fait, en droit et en opportunité (art. 450a al. 1 CC).</w:t>
      </w:r>
    </w:p>
    <w:p>
      <w:r>
        <w:rPr>
          <w:b/>
        </w:rPr>
        <w:t>E. 2</w:t>
      </w:r>
    </w:p>
    <w:p>
      <w:r>
        <w:t>En tant qu'il vise le chiffre 3 du dispositif de l'ordonnance querellée, le recours est devenu sans objet par l'écoulement du temps. Pour le surplus, la recourante conteste d'une part le droit de visite accordé à une tante paternelle des enfants (ch. 1 et 4 contestés du dispositif de l'ordonnance) et l'interdiction pour les enfants de quitter la Suisse sans l'autorisation du Tribunal de protection ainsi que le maintien de leur inscription au système RIPOL (ch. 10 à 12 du dispositif de l'ordonnance attaquée).</w:t>
      </w:r>
    </w:p>
    <w:p>
      <w:r>
        <w:rPr>
          <w:b/>
        </w:rPr>
        <w:t>E. 2.1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t>- 6/8 -</w:t>
      </w:r>
    </w:p>
    <w:p>
      <w:r>
        <w:t>C/23852/2009-CS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 STETTLER, Droit de la filiation, tome 2, Effets de la filiation (art. 270 à 327), 3ème édition,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On tiendra compte, quoi qu'il en soit, des difficultés et conflits que l'exercice du droit peut engendrer et qui, indirectement, pourraient avoir des conséquences néfastes pour l'enfant (LEUBA, Commentaire romand du CC, ad art. 274a n°s 7 et 8).</w:t>
      </w:r>
    </w:p>
    <w:p>
      <w:r>
        <w:rPr>
          <w:b/>
        </w:rPr>
        <w:t>E. 2.2</w:t>
      </w:r>
    </w:p>
    <w:p>
      <w:r>
        <w:t>En l'espèce, le Tribunal de protection a, sans le dire expressément, accordé un droit de visite, de manière tout à fait imprécise, à une personne qualifiée comme la tante paternelle des enfants. La présence de cette personne auprès d'eux est déjà attestée par certaines décisions antérieures. Cela étant, le Tribunal de protection a par ce biais tenté de permettre la reprise des relations personnelles entre le père et les enfants, d'ores et déjà ordonnée précédemment, mais que la recourante a mis toute son énergie à empêcher. Si, du fait de l'imprécision de l'ordonnance, la Cour a des difficultés à déterminer qui est la personne bénéficiaire du droit de visite dans les faits, il ressort toutefois des observations tant de la curatrice des enfants que du Service de protection des mineurs que non seulement cette personne est connue de tous les intervenants à la procédure, mais d'autre part qu'elle est un élément stabilisateur pour les enfants, qui l'apprécient et ont de bons rapports avec elle. En outre, son intervention avait été envisagée lors d'une des audiences du Tribunal de protection, à laquelle assistait la recourante sans que celle-ci se soit opposée à son intervention. Par conséquent, et dans la mesure où la décision querellée a été rendue sur mesures provisionnelles et qu'il appartiendra au Tribunal de protection de clarifier sur le fond l'octroi dudit droit de visite et la personne à laquelle il est octroyé ainsi que les raisons qui poussent le Tribunal de protection à en décider ainsi, la recourante ne peut pas de bonne foi soutenir qu'elle ignore à qui ses enfants sont confiés avant, pendant et après l'exercice du droit de visite en faveur du père. Par conséquent, pour ces raisons, le recours sera rejeté sur ce point.</w:t>
      </w:r>
    </w:p>
    <w:p>
      <w:r>
        <w:rPr>
          <w:b/>
        </w:rPr>
        <w:t>E. 2.3</w:t>
      </w:r>
    </w:p>
    <w:p>
      <w:r>
        <w:t>Quant à la question du maintien des interdictions faites à la recourante de quitter le territoire suisse avec les enfants, la Cour considère qu'au vu de l'attitude de la recourante, qui a sciemment violé les interdictions de quitter le territoire qui lui avaient été notifiées précédemment, il est à ce stade indispensable que celles-ci soient maintenues, la Cour rappelant que la décision prise par le Tribunal de</w:t>
      </w:r>
    </w:p>
    <w:p>
      <w:r>
        <w:t>- 7/8 -</w:t>
      </w:r>
    </w:p>
    <w:p>
      <w:r>
        <w:t>C/23852/2009-CS protection l'a été sur mesures provisionnelles et que ce Tribunal doit poursuivre son instruction de manière à rendre une décision au fond, dans laquelle il examinera la nécessité du maintien de ces mesures ou non, dans l'intérêt des enfants.</w:t>
      </w:r>
    </w:p>
    <w:p>
      <w:r>
        <w:rPr>
          <w:b/>
        </w:rPr>
        <w:t>E. 3</w:t>
      </w:r>
    </w:p>
    <w:p>
      <w:r>
        <w:t>Portant essentiellement sur des questions relatives aux relations personnelles, la procédure n'est pas gratuite (art. 77 LaCC). Par conséquent, les frais de la procédure, arrêtés à 600 fr., seront mis à la charge de la recourante, qui succombe, et provisoirement supportés par l'Etat de Genève vu l'assistance judiciaire dont elle bénéficie. * * * * *</w:t>
      </w:r>
    </w:p>
    <w:p>
      <w:r>
        <w:t>- 8/8 -</w:t>
      </w:r>
    </w:p>
    <w:p>
      <w:r>
        <w:t>C/23852/2009-CS PAR CES MOTIFS, La Chambre de surveillance : A la forme : Déclare recevable le recours formé le 1er octobre 2018 par A______ contre l'ordonnance DTAE/5527/2018 rendue par le Tribunal de protection de l'adulte et de l'enfant le 4 septembre 2018 dans la cause C/23852/2009-6. Au fond : Le rejette et confirme l'ordonnance attaquée. Fixe les frais judiciaires à 600 fr., les met à la charge de A______ et dit qu'ils sont provisoirement laissés à la charge de l'Etat de Genève, vu l'assistance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